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医药企业失信行为案例信息采集文书</w:t>
      </w:r>
    </w:p>
    <w:p>
      <w:pPr>
        <w:spacing w:line="56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文书编号：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sz w:val="28"/>
          <w:szCs w:val="28"/>
          <w:u w:val="single"/>
        </w:rPr>
        <w:t>CJ+地区码+企业码+时间码（地区码、企业码、时间码的规则和格式同医药企业书面承诺编号，时间码按7.1.3所列各类事项时效标准起始时间）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标题：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省（自治区、直辖市）/兵团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市 （地、州、盟）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（医药企业标准全称）</w:t>
      </w:r>
      <w:r>
        <w:rPr>
          <w:rFonts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涉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案/涉事信息</w:t>
      </w:r>
    </w:p>
    <w:p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ind w:left="640" w:hanging="64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□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（医药企业/医药企业员工/医药企业委托代理人）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次向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（受贿主体</w:t>
      </w:r>
      <w:r>
        <w:rPr>
          <w:rStyle w:val="5"/>
          <w:rFonts w:ascii="Times New Roman" w:hAnsi="Times New Roman" w:eastAsia="楷体" w:cs="Times New Roman"/>
          <w:color w:val="000000"/>
          <w:sz w:val="28"/>
          <w:szCs w:val="28"/>
          <w:u w:val="single"/>
        </w:rPr>
        <w:footnoteReference w:id="0"/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给予回扣或其他不正当利益，以使其经营的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（药品/医用耗材通用名称“商品名/品牌名称”）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获得额外的交易机会、竞争优势和销售数量，累计折合人民币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万元，其中单笔给予回扣或其他不正当利益累计最高的，折合人民币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万元，涉及其生产的被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（审判机关/行政执法机关名称）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初审/终审/查实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认定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违反《xxx法》第x章第x条第x款  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构成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（罪名）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罪，判决结果/行政处罚决定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（文书编号）</w:t>
      </w:r>
      <w:r>
        <w:rPr>
          <w:rStyle w:val="5"/>
          <w:rFonts w:ascii="Times New Roman" w:hAnsi="Times New Roman" w:eastAsia="楷体" w:cs="Times New Roman"/>
          <w:color w:val="000000"/>
          <w:sz w:val="28"/>
          <w:szCs w:val="28"/>
          <w:u w:val="single"/>
        </w:rPr>
        <w:footnoteReference w:id="1"/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生效。</w:t>
      </w:r>
    </w:p>
    <w:p>
      <w:pPr>
        <w:spacing w:line="560" w:lineRule="exact"/>
        <w:ind w:left="640" w:hanging="64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640"/>
        </w:tabs>
        <w:spacing w:line="560" w:lineRule="exact"/>
        <w:ind w:left="637" w:hanging="637" w:hangingChars="19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□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，自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（开票企业）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取得虚开的增值税发票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张，价税合计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万元，违反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 《xxx法》第x章第x条第x款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处罚，行政处罚决定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（文书编号）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生效。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640"/>
        </w:tabs>
        <w:spacing w:line="560" w:lineRule="exact"/>
        <w:ind w:left="637" w:hanging="637" w:hangingChars="19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□  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（药用/医用原料企业）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（药用/医用原料名称）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实施垄断，采购该原料的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较大幅度上调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（药品/医用耗材通用名称“商品名/品牌名称”）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价格。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（药用/医用原料企业）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认定构成垄断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相关行政处罚决定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（文书编号）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生效后，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拒绝纠正偏高价格。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640"/>
        </w:tabs>
        <w:spacing w:line="560" w:lineRule="exact"/>
        <w:ind w:left="637" w:hanging="637" w:hangingChars="19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□  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较大幅度上调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（药品/医用耗材通用名称“商品名/品牌名称”）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价格，被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认定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违反《xxx法》第x章第x条第x款  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构成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垄断/价格违法 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相关行政处罚决定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（文书编号）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生效后，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拒绝纠正违法价格。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□  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（医药企业）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经营的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（药品/医用耗材通用名称“商品名/品牌名称”）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价格出现第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  （《裁量基准2.5.1.1-2.5.1.6》）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类异常变动，于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（时间YYYY/MM/DD）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>（省份）</w:t>
      </w:r>
      <w:r>
        <w:rPr>
          <w:rFonts w:ascii="Times New Roman" w:hAnsi="Times New Roman" w:eastAsia="楷体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医疗保障部门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 函询/调查/约谈/告诫/检查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，企业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 w:cs="Times New Roman"/>
          <w:color w:val="000000"/>
          <w:sz w:val="28"/>
          <w:szCs w:val="28"/>
          <w:u w:val="single"/>
        </w:rPr>
        <w:t xml:space="preserve">推诿/拒绝/不能充分说明原因/作出虚假陈述或承诺 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enlo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受贿主体可隐去单位名称和个人信息，如xx市某三级甲等公立医院xx科主任</w:t>
      </w:r>
    </w:p>
  </w:footnote>
  <w:footnote w:id="1">
    <w:p>
      <w:pPr>
        <w:pStyle w:val="3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法院裁判文书编号、行政执法机关行政处罚决定文书的文号或编号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E7"/>
    <w:rsid w:val="004B601C"/>
    <w:rsid w:val="007C3AE7"/>
    <w:rsid w:val="009C31D4"/>
    <w:rsid w:val="2C1D24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link w:val="8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  <w:style w:type="character" w:customStyle="1" w:styleId="7">
    <w:name w:val="页脚 字符"/>
    <w:basedOn w:val="4"/>
    <w:link w:val="2"/>
    <w:uiPriority w:val="0"/>
    <w:rPr>
      <w:sz w:val="18"/>
      <w:szCs w:val="24"/>
    </w:rPr>
  </w:style>
  <w:style w:type="character" w:customStyle="1" w:styleId="8">
    <w:name w:val="脚注文本 字符"/>
    <w:basedOn w:val="4"/>
    <w:link w:val="3"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954</Characters>
  <Lines>7</Lines>
  <Paragraphs>2</Paragraphs>
  <ScaleCrop>false</ScaleCrop>
  <LinksUpToDate>false</LinksUpToDate>
  <CharactersWithSpaces>1119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2020-11-20T07:49:00Z</dcterms:created>
  <dc:creator>. .</dc:creator>
  <cp:lastModifiedBy>林圣杰</cp:lastModifiedBy>
  <cp:lastPrinted>2020-12-30T09:52:07Z</cp:lastPrinted>
  <dcterms:modified xsi:type="dcterms:W3CDTF">2020-12-30T09:56:09Z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