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408ACA">
      <w:pPr>
        <w:widowControl/>
        <w:shd w:val="clear" w:color="auto" w:fill="FFFFFF"/>
        <w:spacing w:before="75" w:after="75"/>
        <w:jc w:val="center"/>
        <w:rPr>
          <w:rFonts w:ascii="微软雅黑" w:hAnsi="微软雅黑" w:eastAsia="微软雅黑" w:cs="宋体"/>
          <w:color w:val="393939"/>
          <w:kern w:val="0"/>
          <w:sz w:val="20"/>
          <w:szCs w:val="20"/>
        </w:rPr>
      </w:pPr>
      <w:r>
        <w:rPr>
          <w:rFonts w:hint="eastAsia" w:ascii="宋体" w:hAnsi="宋体" w:eastAsia="宋体" w:cs="宋体"/>
          <w:b/>
          <w:bCs/>
          <w:color w:val="393939"/>
          <w:kern w:val="0"/>
          <w:sz w:val="72"/>
          <w:szCs w:val="72"/>
        </w:rPr>
        <w:t>福建省政府采购</w:t>
      </w:r>
    </w:p>
    <w:p w14:paraId="4B1D6F85">
      <w:pPr>
        <w:widowControl/>
        <w:shd w:val="clear" w:color="auto" w:fill="FFFFFF"/>
        <w:spacing w:before="75" w:after="75"/>
        <w:jc w:val="center"/>
        <w:rPr>
          <w:rFonts w:ascii="微软雅黑" w:hAnsi="微软雅黑" w:eastAsia="微软雅黑" w:cs="宋体"/>
          <w:color w:val="393939"/>
          <w:kern w:val="0"/>
          <w:sz w:val="20"/>
          <w:szCs w:val="20"/>
        </w:rPr>
      </w:pPr>
      <w:r>
        <w:rPr>
          <w:rFonts w:hint="eastAsia" w:ascii="宋体" w:hAnsi="宋体" w:eastAsia="宋体" w:cs="宋体"/>
          <w:b/>
          <w:bCs/>
          <w:color w:val="393939"/>
          <w:kern w:val="0"/>
          <w:sz w:val="72"/>
          <w:szCs w:val="72"/>
        </w:rPr>
        <w:t>货物和服务项目</w:t>
      </w:r>
    </w:p>
    <w:p w14:paraId="21A23FB4">
      <w:pPr>
        <w:widowControl/>
        <w:shd w:val="clear" w:color="auto" w:fill="FFFFFF"/>
        <w:spacing w:before="75" w:after="75"/>
        <w:jc w:val="center"/>
        <w:rPr>
          <w:rFonts w:ascii="微软雅黑" w:hAnsi="微软雅黑" w:eastAsia="微软雅黑" w:cs="宋体"/>
          <w:color w:val="393939"/>
          <w:kern w:val="0"/>
          <w:sz w:val="20"/>
          <w:szCs w:val="20"/>
        </w:rPr>
      </w:pPr>
      <w:r>
        <w:rPr>
          <w:rFonts w:hint="eastAsia" w:ascii="宋体" w:hAnsi="宋体" w:eastAsia="宋体" w:cs="宋体"/>
          <w:b/>
          <w:bCs/>
          <w:color w:val="393939"/>
          <w:kern w:val="0"/>
          <w:sz w:val="72"/>
          <w:szCs w:val="72"/>
        </w:rPr>
        <w:t>公开招标文件</w:t>
      </w:r>
    </w:p>
    <w:p w14:paraId="4252E0EE">
      <w:pPr>
        <w:widowControl/>
        <w:shd w:val="clear" w:color="auto" w:fill="FFFFFF"/>
        <w:spacing w:before="75" w:after="75"/>
        <w:jc w:val="left"/>
        <w:rPr>
          <w:rFonts w:ascii="微软雅黑" w:hAnsi="微软雅黑" w:eastAsia="宋体" w:cs="宋体"/>
          <w:color w:val="393939"/>
          <w:kern w:val="0"/>
          <w:sz w:val="20"/>
          <w:szCs w:val="20"/>
        </w:rPr>
      </w:pPr>
      <w:r>
        <w:rPr>
          <w:rFonts w:hint="eastAsia" w:ascii="宋体" w:hAnsi="宋体" w:eastAsia="宋体" w:cs="宋体"/>
          <w:b/>
          <w:bCs/>
          <w:color w:val="393939"/>
          <w:kern w:val="0"/>
          <w:sz w:val="72"/>
          <w:szCs w:val="72"/>
        </w:rPr>
        <w:t>     </w:t>
      </w:r>
      <w:r>
        <w:rPr>
          <w:rFonts w:hint="eastAsia" w:ascii="宋体" w:hAnsi="宋体" w:eastAsia="宋体" w:cs="宋体"/>
          <w:b/>
          <w:bCs/>
          <w:color w:val="393939"/>
          <w:kern w:val="0"/>
          <w:sz w:val="48"/>
          <w:szCs w:val="48"/>
        </w:rPr>
        <w:t>(预公告版本)</w:t>
      </w:r>
    </w:p>
    <w:p w14:paraId="0F2C280D">
      <w:pPr>
        <w:widowControl/>
        <w:shd w:val="clear" w:color="auto" w:fill="FFFFFF"/>
        <w:spacing w:before="75" w:after="75"/>
        <w:ind w:firstLine="1050"/>
        <w:jc w:val="left"/>
        <w:rPr>
          <w:rFonts w:ascii="微软雅黑" w:hAnsi="微软雅黑" w:eastAsia="微软雅黑" w:cs="宋体"/>
          <w:color w:val="393939"/>
          <w:kern w:val="0"/>
          <w:sz w:val="20"/>
          <w:szCs w:val="20"/>
        </w:rPr>
      </w:pPr>
      <w:r>
        <w:rPr>
          <w:rFonts w:hint="eastAsia" w:ascii="宋体" w:hAnsi="宋体" w:eastAsia="宋体" w:cs="宋体"/>
          <w:b/>
          <w:bCs/>
          <w:color w:val="393939"/>
          <w:kern w:val="0"/>
          <w:sz w:val="30"/>
          <w:szCs w:val="30"/>
        </w:rPr>
        <w:t>项目名称：福建省级医疗保障信息平台核心区资源扩建项目货物类采购项目</w:t>
      </w:r>
    </w:p>
    <w:p w14:paraId="1B6F4E89">
      <w:pPr>
        <w:widowControl/>
        <w:shd w:val="clear" w:color="auto" w:fill="FFFFFF"/>
        <w:spacing w:before="75" w:after="75"/>
        <w:ind w:firstLine="1050"/>
        <w:jc w:val="left"/>
        <w:rPr>
          <w:rFonts w:ascii="微软雅黑" w:hAnsi="微软雅黑" w:eastAsia="微软雅黑" w:cs="宋体"/>
          <w:color w:val="393939"/>
          <w:kern w:val="0"/>
          <w:sz w:val="20"/>
          <w:szCs w:val="20"/>
        </w:rPr>
      </w:pPr>
      <w:r>
        <w:rPr>
          <w:rFonts w:hint="eastAsia" w:ascii="宋体" w:hAnsi="宋体" w:eastAsia="宋体" w:cs="宋体"/>
          <w:b/>
          <w:bCs/>
          <w:color w:val="393939"/>
          <w:kern w:val="0"/>
          <w:sz w:val="30"/>
          <w:szCs w:val="30"/>
        </w:rPr>
        <w:t>备案编号：K-YB-GK-202207-B4823-IDN</w:t>
      </w:r>
    </w:p>
    <w:p w14:paraId="48C8C122">
      <w:pPr>
        <w:widowControl/>
        <w:shd w:val="clear" w:color="auto" w:fill="FFFFFF"/>
        <w:spacing w:before="75" w:after="75"/>
        <w:ind w:firstLine="1050"/>
        <w:jc w:val="left"/>
        <w:rPr>
          <w:rFonts w:ascii="微软雅黑" w:hAnsi="微软雅黑" w:eastAsia="微软雅黑" w:cs="宋体"/>
          <w:color w:val="393939"/>
          <w:kern w:val="0"/>
          <w:sz w:val="20"/>
          <w:szCs w:val="20"/>
        </w:rPr>
      </w:pPr>
      <w:r>
        <w:rPr>
          <w:rFonts w:hint="eastAsia" w:ascii="宋体" w:hAnsi="宋体" w:eastAsia="宋体" w:cs="宋体"/>
          <w:b/>
          <w:bCs/>
          <w:color w:val="393939"/>
          <w:kern w:val="0"/>
          <w:sz w:val="30"/>
          <w:szCs w:val="30"/>
        </w:rPr>
        <w:t>项目编号：[3500]SHGS[GK]2022009</w:t>
      </w:r>
      <w:r>
        <w:rPr>
          <w:rFonts w:hint="eastAsia" w:ascii="宋体" w:hAnsi="宋体" w:eastAsia="宋体" w:cs="宋体"/>
          <w:b/>
          <w:bCs/>
          <w:color w:val="393939"/>
          <w:kern w:val="0"/>
          <w:sz w:val="30"/>
          <w:szCs w:val="30"/>
        </w:rPr>
        <w:br w:type="textWrapping"/>
      </w:r>
      <w:r>
        <w:rPr>
          <w:rFonts w:hint="eastAsia" w:ascii="宋体" w:hAnsi="宋体" w:eastAsia="宋体" w:cs="宋体"/>
          <w:b/>
          <w:bCs/>
          <w:color w:val="393939"/>
          <w:kern w:val="0"/>
          <w:sz w:val="30"/>
          <w:szCs w:val="30"/>
        </w:rPr>
        <w:t>                   </w:t>
      </w:r>
    </w:p>
    <w:p w14:paraId="10CDDDF5">
      <w:pPr>
        <w:widowControl/>
        <w:shd w:val="clear" w:color="auto" w:fill="FFFFFF"/>
        <w:spacing w:before="75" w:after="75"/>
        <w:jc w:val="left"/>
        <w:rPr>
          <w:rFonts w:ascii="微软雅黑" w:hAnsi="微软雅黑" w:eastAsia="微软雅黑" w:cs="宋体"/>
          <w:color w:val="393939"/>
          <w:kern w:val="0"/>
          <w:sz w:val="20"/>
          <w:szCs w:val="20"/>
        </w:rPr>
      </w:pPr>
      <w:r>
        <w:rPr>
          <w:rFonts w:hint="eastAsia" w:ascii="微软雅黑" w:hAnsi="微软雅黑" w:eastAsia="微软雅黑" w:cs="宋体"/>
          <w:color w:val="393939"/>
          <w:kern w:val="0"/>
          <w:sz w:val="24"/>
          <w:szCs w:val="24"/>
        </w:rPr>
        <w:t> </w:t>
      </w:r>
    </w:p>
    <w:p w14:paraId="14404FEC">
      <w:pPr>
        <w:widowControl/>
        <w:shd w:val="clear" w:color="auto" w:fill="FFFFFF"/>
        <w:spacing w:before="75" w:after="75"/>
        <w:jc w:val="left"/>
        <w:rPr>
          <w:rFonts w:ascii="微软雅黑" w:hAnsi="微软雅黑" w:eastAsia="微软雅黑" w:cs="宋体"/>
          <w:color w:val="393939"/>
          <w:kern w:val="0"/>
          <w:sz w:val="20"/>
          <w:szCs w:val="20"/>
        </w:rPr>
      </w:pPr>
      <w:r>
        <w:rPr>
          <w:rFonts w:hint="eastAsia" w:ascii="宋体" w:hAnsi="宋体" w:eastAsia="宋体" w:cs="宋体"/>
          <w:b/>
          <w:bCs/>
          <w:color w:val="393939"/>
          <w:kern w:val="0"/>
          <w:sz w:val="29"/>
          <w:szCs w:val="29"/>
        </w:rPr>
        <w:t> </w:t>
      </w:r>
    </w:p>
    <w:p w14:paraId="4F57427B">
      <w:pPr>
        <w:widowControl/>
        <w:shd w:val="clear" w:color="auto" w:fill="FFFFFF"/>
        <w:spacing w:before="75" w:after="75"/>
        <w:jc w:val="left"/>
        <w:rPr>
          <w:rFonts w:ascii="微软雅黑" w:hAnsi="微软雅黑" w:eastAsia="微软雅黑" w:cs="宋体"/>
          <w:color w:val="393939"/>
          <w:kern w:val="0"/>
          <w:sz w:val="20"/>
          <w:szCs w:val="20"/>
        </w:rPr>
      </w:pPr>
      <w:r>
        <w:rPr>
          <w:rFonts w:hint="eastAsia" w:ascii="微软雅黑" w:hAnsi="微软雅黑" w:eastAsia="微软雅黑" w:cs="宋体"/>
          <w:color w:val="393939"/>
          <w:kern w:val="0"/>
          <w:sz w:val="24"/>
          <w:szCs w:val="24"/>
        </w:rPr>
        <w:t> </w:t>
      </w:r>
    </w:p>
    <w:p w14:paraId="196D27A0">
      <w:pPr>
        <w:widowControl/>
        <w:jc w:val="left"/>
        <w:rPr>
          <w:rFonts w:ascii="宋体" w:hAnsi="宋体" w:eastAsia="宋体" w:cs="宋体"/>
          <w:kern w:val="0"/>
          <w:sz w:val="24"/>
          <w:szCs w:val="24"/>
        </w:rPr>
      </w:pPr>
      <w:r>
        <w:rPr>
          <w:rFonts w:hint="eastAsia" w:ascii="微软雅黑" w:hAnsi="微软雅黑" w:eastAsia="微软雅黑" w:cs="宋体"/>
          <w:color w:val="393939"/>
          <w:kern w:val="0"/>
          <w:sz w:val="20"/>
          <w:szCs w:val="20"/>
          <w:shd w:val="clear" w:color="auto" w:fill="FFFFFF"/>
        </w:rPr>
        <w:t> </w:t>
      </w:r>
    </w:p>
    <w:p w14:paraId="627D7AE3">
      <w:pPr>
        <w:widowControl/>
        <w:shd w:val="clear" w:color="auto" w:fill="FFFFFF"/>
        <w:spacing w:before="75" w:after="75"/>
        <w:jc w:val="left"/>
        <w:rPr>
          <w:rFonts w:ascii="微软雅黑" w:hAnsi="微软雅黑" w:eastAsia="微软雅黑" w:cs="宋体"/>
          <w:color w:val="393939"/>
          <w:kern w:val="0"/>
          <w:sz w:val="20"/>
          <w:szCs w:val="20"/>
        </w:rPr>
      </w:pPr>
      <w:r>
        <w:rPr>
          <w:rFonts w:hint="eastAsia" w:ascii="微软雅黑" w:hAnsi="微软雅黑" w:eastAsia="微软雅黑" w:cs="宋体"/>
          <w:color w:val="393939"/>
          <w:kern w:val="0"/>
          <w:sz w:val="24"/>
          <w:szCs w:val="24"/>
        </w:rPr>
        <w:t>                       </w:t>
      </w:r>
      <w:r>
        <w:rPr>
          <w:rFonts w:ascii="微软雅黑" w:hAnsi="微软雅黑" w:eastAsia="微软雅黑" w:cs="宋体"/>
          <w:color w:val="393939"/>
          <w:kern w:val="0"/>
          <w:sz w:val="24"/>
          <w:szCs w:val="24"/>
        </w:rPr>
        <w:t xml:space="preserve"> </w:t>
      </w:r>
      <w:r>
        <w:rPr>
          <w:rFonts w:hint="eastAsia" w:ascii="宋体" w:hAnsi="宋体" w:eastAsia="宋体" w:cs="宋体"/>
          <w:b/>
          <w:bCs/>
          <w:color w:val="393939"/>
          <w:kern w:val="0"/>
          <w:sz w:val="27"/>
          <w:szCs w:val="27"/>
        </w:rPr>
        <w:t>采购人：</w:t>
      </w:r>
      <w:r>
        <w:rPr>
          <w:rFonts w:hint="eastAsia" w:ascii="微软雅黑" w:hAnsi="微软雅黑" w:eastAsia="微软雅黑" w:cs="宋体"/>
          <w:color w:val="393939"/>
          <w:kern w:val="0"/>
          <w:sz w:val="27"/>
          <w:szCs w:val="27"/>
        </w:rPr>
        <w:t> </w:t>
      </w:r>
      <w:r>
        <w:rPr>
          <w:rFonts w:hint="eastAsia" w:ascii="宋体" w:hAnsi="宋体" w:eastAsia="宋体" w:cs="宋体"/>
          <w:b/>
          <w:bCs/>
          <w:color w:val="393939"/>
          <w:kern w:val="0"/>
          <w:sz w:val="29"/>
          <w:szCs w:val="29"/>
        </w:rPr>
        <w:t>福建省医疗保障局</w:t>
      </w:r>
    </w:p>
    <w:p w14:paraId="344CCCB9">
      <w:pPr>
        <w:widowControl/>
        <w:shd w:val="clear" w:color="auto" w:fill="FFFFFF"/>
        <w:spacing w:before="75" w:after="75"/>
        <w:jc w:val="center"/>
        <w:rPr>
          <w:rFonts w:ascii="微软雅黑" w:hAnsi="微软雅黑" w:eastAsia="微软雅黑" w:cs="宋体"/>
          <w:color w:val="393939"/>
          <w:kern w:val="0"/>
          <w:sz w:val="20"/>
          <w:szCs w:val="20"/>
        </w:rPr>
      </w:pPr>
      <w:r>
        <w:rPr>
          <w:rFonts w:hint="eastAsia" w:ascii="宋体" w:hAnsi="宋体" w:eastAsia="宋体" w:cs="宋体"/>
          <w:b/>
          <w:bCs/>
          <w:color w:val="393939"/>
          <w:kern w:val="0"/>
          <w:sz w:val="29"/>
          <w:szCs w:val="29"/>
        </w:rPr>
        <w:t>代理机构：福建昇华工程造价咨询有限公司</w:t>
      </w:r>
    </w:p>
    <w:p w14:paraId="1DCA6D0F">
      <w:pPr>
        <w:widowControl/>
        <w:shd w:val="clear" w:color="auto" w:fill="FFFFFF"/>
        <w:spacing w:before="75" w:after="75"/>
        <w:jc w:val="center"/>
        <w:rPr>
          <w:rFonts w:ascii="微软雅黑" w:hAnsi="微软雅黑" w:eastAsia="微软雅黑" w:cs="宋体"/>
          <w:color w:val="393939"/>
          <w:kern w:val="0"/>
          <w:sz w:val="20"/>
          <w:szCs w:val="20"/>
        </w:rPr>
      </w:pPr>
      <w:r>
        <w:rPr>
          <w:rFonts w:hint="eastAsia" w:ascii="微软雅黑" w:hAnsi="微软雅黑" w:eastAsia="微软雅黑" w:cs="宋体"/>
          <w:color w:val="393939"/>
          <w:kern w:val="0"/>
          <w:sz w:val="27"/>
          <w:szCs w:val="27"/>
        </w:rPr>
        <w:t> </w:t>
      </w:r>
    </w:p>
    <w:p w14:paraId="30EECA79">
      <w:pPr>
        <w:widowControl/>
        <w:shd w:val="clear" w:color="auto" w:fill="FFFFFF"/>
        <w:spacing w:before="75" w:after="75" w:line="360" w:lineRule="atLeast"/>
        <w:ind w:right="720"/>
        <w:jc w:val="center"/>
        <w:rPr>
          <w:rFonts w:ascii="微软雅黑" w:hAnsi="微软雅黑" w:eastAsia="微软雅黑" w:cs="宋体"/>
          <w:color w:val="393939"/>
          <w:kern w:val="0"/>
          <w:sz w:val="20"/>
          <w:szCs w:val="20"/>
        </w:rPr>
      </w:pPr>
      <w:r>
        <w:rPr>
          <w:rFonts w:hint="eastAsia" w:ascii="宋体" w:hAnsi="宋体" w:eastAsia="宋体" w:cs="宋体"/>
          <w:b/>
          <w:bCs/>
          <w:color w:val="393939"/>
          <w:kern w:val="0"/>
          <w:sz w:val="29"/>
          <w:szCs w:val="29"/>
        </w:rPr>
        <w:t>2022年08月</w:t>
      </w:r>
    </w:p>
    <w:p w14:paraId="74015F3C">
      <w:pPr>
        <w:widowControl/>
        <w:shd w:val="clear" w:color="auto" w:fill="FFFFFF"/>
        <w:spacing w:before="75" w:after="75"/>
        <w:jc w:val="left"/>
        <w:rPr>
          <w:rFonts w:ascii="微软雅黑" w:hAnsi="微软雅黑" w:eastAsia="微软雅黑" w:cs="宋体"/>
          <w:color w:val="393939"/>
          <w:kern w:val="0"/>
          <w:sz w:val="20"/>
          <w:szCs w:val="20"/>
        </w:rPr>
      </w:pPr>
      <w:r>
        <w:rPr>
          <w:rFonts w:hint="eastAsia" w:ascii="微软雅黑" w:hAnsi="微软雅黑" w:eastAsia="微软雅黑" w:cs="宋体"/>
          <w:color w:val="393939"/>
          <w:kern w:val="0"/>
          <w:sz w:val="24"/>
          <w:szCs w:val="24"/>
        </w:rPr>
        <w:t> </w:t>
      </w:r>
    </w:p>
    <w:p w14:paraId="04A98FA8">
      <w:pPr>
        <w:widowControl/>
        <w:spacing w:before="75" w:after="75"/>
        <w:jc w:val="center"/>
        <w:rPr>
          <w:rFonts w:ascii="宋体" w:hAnsi="宋体" w:eastAsia="宋体" w:cs="宋体"/>
          <w:kern w:val="0"/>
          <w:sz w:val="24"/>
          <w:szCs w:val="24"/>
        </w:rPr>
      </w:pPr>
      <w:r>
        <w:rPr>
          <w:rFonts w:hint="eastAsia" w:ascii="宋体" w:hAnsi="宋体" w:eastAsia="宋体" w:cs="宋体"/>
          <w:b/>
          <w:bCs/>
          <w:kern w:val="0"/>
          <w:sz w:val="32"/>
          <w:szCs w:val="32"/>
        </w:rPr>
        <w:t>第一章</w:t>
      </w:r>
      <w:r>
        <w:rPr>
          <w:rFonts w:ascii="宋体" w:hAnsi="宋体" w:eastAsia="宋体" w:cs="宋体"/>
          <w:b/>
          <w:bCs/>
          <w:kern w:val="0"/>
          <w:sz w:val="32"/>
          <w:szCs w:val="32"/>
        </w:rPr>
        <w:t>   </w:t>
      </w:r>
      <w:r>
        <w:rPr>
          <w:rFonts w:hint="eastAsia" w:ascii="宋体" w:hAnsi="宋体" w:eastAsia="宋体" w:cs="宋体"/>
          <w:b/>
          <w:bCs/>
          <w:kern w:val="0"/>
          <w:sz w:val="32"/>
          <w:szCs w:val="32"/>
        </w:rPr>
        <w:t>投标邀请</w:t>
      </w:r>
    </w:p>
    <w:p w14:paraId="631DD74E">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14:paraId="73DBF81E">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u w:val="single"/>
        </w:rPr>
        <w:t>福建昇华工程造价咨询有限公司</w:t>
      </w:r>
      <w:r>
        <w:rPr>
          <w:rFonts w:hint="eastAsia" w:ascii="宋体" w:hAnsi="宋体" w:eastAsia="宋体" w:cs="宋体"/>
          <w:kern w:val="0"/>
          <w:sz w:val="24"/>
          <w:szCs w:val="24"/>
        </w:rPr>
        <w:t>采用</w:t>
      </w:r>
      <w:r>
        <w:rPr>
          <w:rFonts w:hint="eastAsia" w:ascii="宋体" w:hAnsi="宋体" w:eastAsia="宋体" w:cs="宋体"/>
          <w:kern w:val="0"/>
          <w:sz w:val="24"/>
          <w:szCs w:val="24"/>
          <w:u w:val="single"/>
        </w:rPr>
        <w:t>公开招标方式</w:t>
      </w:r>
      <w:r>
        <w:rPr>
          <w:rFonts w:hint="eastAsia" w:ascii="宋体" w:hAnsi="宋体" w:eastAsia="宋体" w:cs="宋体"/>
          <w:kern w:val="0"/>
          <w:sz w:val="24"/>
          <w:szCs w:val="24"/>
        </w:rPr>
        <w:t>组织福建省级医疗保障信息平台核心区资源扩建项目货物类采购项目（以下简称：“本项目”）的政府采购活动，现邀请供应商参加投标。</w:t>
      </w:r>
    </w:p>
    <w:p w14:paraId="1205648A">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1、备案编号：</w:t>
      </w:r>
      <w:r>
        <w:rPr>
          <w:rFonts w:hint="eastAsia" w:ascii="宋体" w:hAnsi="宋体" w:eastAsia="宋体" w:cs="宋体"/>
          <w:kern w:val="0"/>
          <w:sz w:val="24"/>
          <w:szCs w:val="24"/>
          <w:u w:val="single"/>
        </w:rPr>
        <w:t>K-YB-GK-202207-B4823-IDN</w:t>
      </w:r>
      <w:r>
        <w:rPr>
          <w:rFonts w:hint="eastAsia" w:ascii="宋体" w:hAnsi="宋体" w:eastAsia="宋体" w:cs="宋体"/>
          <w:kern w:val="0"/>
          <w:sz w:val="24"/>
          <w:szCs w:val="24"/>
        </w:rPr>
        <w:t>。</w:t>
      </w:r>
    </w:p>
    <w:p w14:paraId="1D7188CE">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2、项目编号：</w:t>
      </w:r>
      <w:r>
        <w:rPr>
          <w:rFonts w:hint="eastAsia" w:ascii="宋体" w:hAnsi="宋体" w:eastAsia="宋体" w:cs="宋体"/>
          <w:kern w:val="0"/>
          <w:sz w:val="24"/>
          <w:szCs w:val="24"/>
          <w:u w:val="single"/>
        </w:rPr>
        <w:t>[3500]SHGS[GK]2022009</w:t>
      </w:r>
      <w:r>
        <w:rPr>
          <w:rFonts w:hint="eastAsia" w:ascii="宋体" w:hAnsi="宋体" w:eastAsia="宋体" w:cs="宋体"/>
          <w:kern w:val="0"/>
          <w:sz w:val="24"/>
          <w:szCs w:val="24"/>
        </w:rPr>
        <w:t>。</w:t>
      </w:r>
    </w:p>
    <w:p w14:paraId="34B3A539">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3、预算金额、最高限价：详见《采购标的一览表》。</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4、招标内容及要求：详见《采购标的一览表》及招标文件第五章。</w:t>
      </w:r>
    </w:p>
    <w:p w14:paraId="402EFBC2">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5、需要落实的政府采购政策：进口产品，不适用。节能产品，适用于（合同包1），按照最新一期节能清单执行。环境标志产品，适用于（合同包1），按照最新一期环境标志清单执行。信息安全产品，适用于（合同包1）。小型、微型企业，适用于（合同包1）。监狱企业，适用于（合同包1）。促进残疾人就业 ，适用于（合同包1）。信用记录，适用于（合同包1），按照下列规定执行：（1）投标人应在（填写招标文件要求的截止时点）前分别通过“信用中国”网站（www.creditchina.gov.cn）、中国政府采购网（www.ccgp.gov.cn）查询并打印相应的信用记录（以下简称：“投标人提供的查询结果”），投标人提供的查询结果应为其通过上述网站获取的信用信息查询结果原始页面的打印件（或截图）。（2）查询结果的审查：①由资格审查小组通过上述网站查询并打印投标人信用记录（以下简称：“资格审查小组的查询结果”）。②投标人提供的查询结果与资格审查小组的查询结果不一致的，以资格审查小组的查询结果为准。③因上述网站原因导致资格审查小组无法查询投标人信用记录的（资格审查小组应将通过上述网站查询投标人信用记录时的原始页面打印后随采购文件一并存档），以投标人提供的查询结果为准。④查询结果存在投标人应被拒绝参与政府采购活动相关信息的，其资格审查不合格。</w:t>
      </w:r>
    </w:p>
    <w:p w14:paraId="5334CE64">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6、投标人的资格要求</w:t>
      </w:r>
    </w:p>
    <w:p w14:paraId="260BA90B">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6.1法定条件：符合政府采购法第二十二条第一款规定的条件。</w:t>
      </w:r>
    </w:p>
    <w:p w14:paraId="653FDB44">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6.2特定条件：</w:t>
      </w:r>
      <w:r>
        <w:rPr>
          <w:rFonts w:hint="eastAsia" w:ascii="宋体" w:hAnsi="宋体" w:eastAsia="宋体" w:cs="宋体"/>
          <w:kern w:val="0"/>
          <w:sz w:val="24"/>
          <w:szCs w:val="24"/>
        </w:rPr>
        <w:br w:type="textWrapping"/>
      </w:r>
      <w:r>
        <w:rPr>
          <w:rFonts w:hint="eastAsia" w:ascii="宋体" w:hAnsi="宋体" w:eastAsia="宋体" w:cs="宋体"/>
          <w:b/>
          <w:bCs/>
          <w:kern w:val="0"/>
          <w:sz w:val="24"/>
          <w:szCs w:val="24"/>
        </w:rPr>
        <w:t>包：1</w:t>
      </w:r>
      <w:r>
        <w:rPr>
          <w:rFonts w:ascii="宋体" w:hAnsi="宋体" w:eastAsia="宋体" w:cs="宋体"/>
          <w:kern w:val="0"/>
          <w:sz w:val="24"/>
          <w:szCs w:val="24"/>
        </w:rPr>
        <w:br w:type="textWrapping"/>
      </w:r>
      <w:r>
        <w:rPr>
          <w:rFonts w:ascii="宋体" w:hAnsi="宋体" w:eastAsia="宋体" w:cs="宋体"/>
          <w:b/>
          <w:bCs/>
          <w:kern w:val="0"/>
          <w:sz w:val="24"/>
          <w:szCs w:val="24"/>
        </w:rPr>
        <w:t>         无</w:t>
      </w:r>
    </w:p>
    <w:p w14:paraId="3A3CADE1">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6.3是否接受联合体投标：不接受。</w:t>
      </w:r>
    </w:p>
    <w:p w14:paraId="085B070C">
      <w:pPr>
        <w:widowControl/>
        <w:spacing w:before="75" w:after="75"/>
        <w:ind w:firstLine="480"/>
        <w:jc w:val="left"/>
        <w:rPr>
          <w:rFonts w:ascii="宋体" w:hAnsi="宋体" w:eastAsia="宋体" w:cs="宋体"/>
          <w:kern w:val="0"/>
          <w:sz w:val="24"/>
          <w:szCs w:val="24"/>
        </w:rPr>
      </w:pPr>
      <w:r>
        <w:rPr>
          <w:rFonts w:hint="eastAsia" w:ascii="宋体" w:hAnsi="宋体" w:eastAsia="宋体" w:cs="宋体"/>
          <w:b/>
          <w:bCs/>
          <w:kern w:val="0"/>
          <w:sz w:val="24"/>
          <w:szCs w:val="24"/>
        </w:rPr>
        <w:t>※根据上述资格要求，投标文件中应提交的“投标人的资格及资信证明文件”详见招标文件第四章。</w:t>
      </w:r>
    </w:p>
    <w:p w14:paraId="22A06B36">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7、招标文件的获取</w:t>
      </w:r>
    </w:p>
    <w:p w14:paraId="3C2BB05A">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7.1、招标文件获取期限：详见招标公告或更正公告，若不一致，以更正公告为准。</w:t>
      </w:r>
    </w:p>
    <w:p w14:paraId="34D2526F">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7.2、在招标文件获取期限内，供应商应通过福建省政府采购网上公开信息系统的注册账号（免费注册）并获取招标文件(请根据项目所在地，登录对应的福建省政府采购网上公开信息系统(即省本级网址/地市分网))，否则</w:t>
      </w:r>
      <w:r>
        <w:rPr>
          <w:rFonts w:hint="eastAsia" w:ascii="宋体" w:hAnsi="宋体" w:eastAsia="宋体" w:cs="宋体"/>
          <w:b/>
          <w:bCs/>
          <w:kern w:val="0"/>
          <w:sz w:val="24"/>
          <w:szCs w:val="24"/>
        </w:rPr>
        <w:t>投标将被拒绝。</w:t>
      </w:r>
    </w:p>
    <w:p w14:paraId="1C38745B">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7.3、获取地点及方式：注册账号后，通过福建省政府采购网上公开信息系统以下载方式获取。</w:t>
      </w:r>
    </w:p>
    <w:p w14:paraId="25C02A05">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7.4、招标文件售价：</w:t>
      </w:r>
      <w:r>
        <w:rPr>
          <w:rFonts w:ascii="Times New Roman" w:hAnsi="Times New Roman" w:eastAsia="宋体" w:cs="Times New Roman"/>
          <w:kern w:val="0"/>
          <w:sz w:val="24"/>
          <w:szCs w:val="24"/>
        </w:rPr>
        <w:t>0</w:t>
      </w:r>
      <w:r>
        <w:rPr>
          <w:rFonts w:hint="eastAsia" w:ascii="宋体" w:hAnsi="宋体" w:eastAsia="宋体" w:cs="宋体"/>
          <w:kern w:val="0"/>
          <w:sz w:val="24"/>
          <w:szCs w:val="24"/>
        </w:rPr>
        <w:t>元。</w:t>
      </w:r>
    </w:p>
    <w:p w14:paraId="4F6D02DA">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8、投标截止</w:t>
      </w:r>
    </w:p>
    <w:p w14:paraId="0870D416">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8.1、投标截止时间：详见招标公告或更正公告，若不一致，以更正公告为准。</w:t>
      </w:r>
    </w:p>
    <w:p w14:paraId="55A095D8">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8.2、投标人应在投标截止时间前按照福建省政府采购网上公开信息系统设定的操作流程将电子投标文件上传至福建省政府采购网上公开信息系统，同时将</w:t>
      </w:r>
      <w:r>
        <w:rPr>
          <w:rFonts w:hint="eastAsia" w:ascii="宋体" w:hAnsi="宋体" w:eastAsia="宋体" w:cs="宋体"/>
          <w:b/>
          <w:bCs/>
          <w:kern w:val="0"/>
          <w:sz w:val="24"/>
          <w:szCs w:val="24"/>
        </w:rPr>
        <w:t>投标人的CA证书</w:t>
      </w:r>
      <w:r>
        <w:rPr>
          <w:rFonts w:hint="eastAsia" w:ascii="宋体" w:hAnsi="宋体" w:eastAsia="宋体" w:cs="宋体"/>
          <w:kern w:val="0"/>
          <w:sz w:val="24"/>
          <w:szCs w:val="24"/>
        </w:rPr>
        <w:t>送达招标文件第一章第9条载明的地点，否则</w:t>
      </w:r>
      <w:r>
        <w:rPr>
          <w:rFonts w:hint="eastAsia" w:ascii="宋体" w:hAnsi="宋体" w:eastAsia="宋体" w:cs="宋体"/>
          <w:b/>
          <w:bCs/>
          <w:kern w:val="0"/>
          <w:sz w:val="24"/>
          <w:szCs w:val="24"/>
        </w:rPr>
        <w:t>投标将被拒绝。</w:t>
      </w:r>
    </w:p>
    <w:p w14:paraId="3CE6E0CF">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9、开标时间及地点：详见招标公告或更正公告，若不一致，以更正公告为准。</w:t>
      </w:r>
      <w:r>
        <w:rPr>
          <w:rFonts w:hint="eastAsia" w:ascii="宋体" w:hAnsi="宋体" w:eastAsia="宋体" w:cs="宋体"/>
          <w:b/>
          <w:bCs/>
          <w:kern w:val="0"/>
          <w:sz w:val="24"/>
          <w:szCs w:val="24"/>
        </w:rPr>
        <w:t> </w:t>
      </w:r>
    </w:p>
    <w:p w14:paraId="24D5C5CD">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10、公告期限</w:t>
      </w:r>
    </w:p>
    <w:p w14:paraId="71C629F7">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10.1、招标公告的公告期限：自财政部和福建省财政厅指定的政府采购信息发布媒体最先发布公告之日起</w:t>
      </w:r>
      <w:r>
        <w:rPr>
          <w:rFonts w:ascii="Times New Roman" w:hAnsi="Times New Roman" w:eastAsia="宋体" w:cs="Times New Roman"/>
          <w:kern w:val="0"/>
          <w:sz w:val="24"/>
          <w:szCs w:val="24"/>
        </w:rPr>
        <w:t>5</w:t>
      </w:r>
      <w:r>
        <w:rPr>
          <w:rFonts w:hint="eastAsia" w:ascii="宋体" w:hAnsi="宋体" w:eastAsia="宋体" w:cs="宋体"/>
          <w:kern w:val="0"/>
          <w:sz w:val="24"/>
          <w:szCs w:val="24"/>
        </w:rPr>
        <w:t>个工作日。</w:t>
      </w:r>
    </w:p>
    <w:p w14:paraId="592E0CAB">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10.2、招标文件公告期限：招标文件随同招标公告一并发布，其公告期限与招标公告的公告期限保持一致。</w:t>
      </w:r>
    </w:p>
    <w:p w14:paraId="3721150F">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11、采购人：福建省医疗保障局</w:t>
      </w:r>
    </w:p>
    <w:p w14:paraId="2BBC8A65">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地址：福州市鼓楼区北大路133号省物价大厦</w:t>
      </w:r>
    </w:p>
    <w:p w14:paraId="1E523E8C">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联系方法：059186312902</w:t>
      </w:r>
    </w:p>
    <w:p w14:paraId="24FA843E">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12、代理机构：福建昇华工程造价咨询有限公司</w:t>
      </w:r>
    </w:p>
    <w:p w14:paraId="27253042">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地址：福州市鼓楼区省府路1号金皇大厦3层东</w:t>
      </w:r>
    </w:p>
    <w:p w14:paraId="27F03AF8">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联系方法：0591-87717532</w:t>
      </w:r>
    </w:p>
    <w:p w14:paraId="74A8767B">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br w:type="textWrapping"/>
      </w:r>
      <w:r>
        <w:rPr>
          <w:rFonts w:hint="eastAsia" w:ascii="宋体" w:hAnsi="宋体" w:eastAsia="宋体" w:cs="宋体"/>
          <w:kern w:val="0"/>
          <w:sz w:val="24"/>
          <w:szCs w:val="24"/>
        </w:rPr>
        <w:t>附1：账户信息</w:t>
      </w:r>
    </w:p>
    <w:tbl>
      <w:tblPr>
        <w:tblStyle w:val="9"/>
        <w:tblW w:w="5000" w:type="pct"/>
        <w:tblInd w:w="0" w:type="dxa"/>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8516"/>
      </w:tblGrid>
      <w:tr w14:paraId="3D3431FB">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5000" w:type="pct"/>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0A2D47CB">
            <w:pPr>
              <w:widowControl/>
              <w:jc w:val="center"/>
              <w:rPr>
                <w:rFonts w:ascii="宋体" w:hAnsi="宋体" w:eastAsia="宋体" w:cs="宋体"/>
                <w:kern w:val="0"/>
                <w:sz w:val="24"/>
                <w:szCs w:val="24"/>
              </w:rPr>
            </w:pPr>
            <w:r>
              <w:rPr>
                <w:rFonts w:hint="eastAsia" w:ascii="宋体" w:hAnsi="宋体" w:eastAsia="宋体" w:cs="宋体"/>
                <w:b/>
                <w:bCs/>
                <w:kern w:val="0"/>
                <w:sz w:val="24"/>
                <w:szCs w:val="24"/>
              </w:rPr>
              <w:t>投标保证金账户</w:t>
            </w:r>
          </w:p>
        </w:tc>
      </w:tr>
      <w:tr w14:paraId="42121648">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5000"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tcPr>
          <w:p w14:paraId="785353BC">
            <w:pPr>
              <w:widowControl/>
              <w:jc w:val="left"/>
              <w:rPr>
                <w:rFonts w:ascii="宋体" w:hAnsi="宋体" w:eastAsia="宋体" w:cs="宋体"/>
                <w:kern w:val="0"/>
                <w:sz w:val="24"/>
                <w:szCs w:val="24"/>
              </w:rPr>
            </w:pPr>
            <w:r>
              <w:rPr>
                <w:rFonts w:hint="eastAsia" w:ascii="宋体" w:hAnsi="宋体" w:eastAsia="宋体" w:cs="宋体"/>
                <w:kern w:val="0"/>
                <w:sz w:val="24"/>
                <w:szCs w:val="24"/>
              </w:rPr>
              <w:t>开户名称：</w:t>
            </w:r>
            <w:r>
              <w:rPr>
                <w:rFonts w:hint="eastAsia" w:ascii="宋体" w:hAnsi="宋体" w:eastAsia="宋体" w:cs="宋体"/>
                <w:kern w:val="0"/>
                <w:sz w:val="24"/>
                <w:szCs w:val="24"/>
                <w:u w:val="single"/>
                <w:shd w:val="clear" w:color="auto" w:fill="FFFFFF"/>
              </w:rPr>
              <w:t>福建昇华工程造价咨询有限公司</w:t>
            </w:r>
          </w:p>
        </w:tc>
      </w:tr>
      <w:tr w14:paraId="60BEC54F">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5000"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tcPr>
          <w:p w14:paraId="333395CF">
            <w:pPr>
              <w:widowControl/>
              <w:jc w:val="left"/>
              <w:rPr>
                <w:rFonts w:ascii="宋体" w:hAnsi="宋体" w:eastAsia="宋体" w:cs="宋体"/>
                <w:kern w:val="0"/>
                <w:sz w:val="24"/>
                <w:szCs w:val="24"/>
              </w:rPr>
            </w:pPr>
            <w:r>
              <w:rPr>
                <w:rFonts w:hint="eastAsia" w:ascii="宋体" w:hAnsi="宋体" w:eastAsia="宋体" w:cs="宋体"/>
                <w:kern w:val="0"/>
                <w:sz w:val="24"/>
                <w:szCs w:val="24"/>
              </w:rPr>
              <w:t>开户银行：供应商在福建省政府采购网上公开信息系统获取招标文件后，根据其提示自行选择要缴交的投标保证金托管银行。</w:t>
            </w:r>
          </w:p>
        </w:tc>
      </w:tr>
      <w:tr w14:paraId="67EA0995">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5000"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tcPr>
          <w:p w14:paraId="6A501838">
            <w:pPr>
              <w:widowControl/>
              <w:jc w:val="left"/>
              <w:rPr>
                <w:rFonts w:ascii="宋体" w:hAnsi="宋体" w:eastAsia="宋体" w:cs="宋体"/>
                <w:kern w:val="0"/>
                <w:sz w:val="24"/>
                <w:szCs w:val="24"/>
              </w:rPr>
            </w:pPr>
            <w:r>
              <w:rPr>
                <w:rFonts w:hint="eastAsia" w:ascii="宋体" w:hAnsi="宋体" w:eastAsia="宋体" w:cs="宋体"/>
                <w:kern w:val="0"/>
                <w:sz w:val="24"/>
                <w:szCs w:val="24"/>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10D3A488">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5000"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20A0FFDF">
            <w:pPr>
              <w:widowControl/>
              <w:jc w:val="center"/>
              <w:rPr>
                <w:rFonts w:ascii="宋体" w:hAnsi="宋体" w:eastAsia="宋体" w:cs="宋体"/>
                <w:kern w:val="0"/>
                <w:sz w:val="24"/>
                <w:szCs w:val="24"/>
              </w:rPr>
            </w:pPr>
            <w:r>
              <w:rPr>
                <w:rFonts w:hint="eastAsia" w:ascii="宋体" w:hAnsi="宋体" w:eastAsia="宋体" w:cs="宋体"/>
                <w:b/>
                <w:bCs/>
                <w:kern w:val="0"/>
                <w:sz w:val="24"/>
                <w:szCs w:val="24"/>
              </w:rPr>
              <w:t>特别提示</w:t>
            </w:r>
          </w:p>
        </w:tc>
      </w:tr>
      <w:tr w14:paraId="40D4E1D0">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5000"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tcPr>
          <w:p w14:paraId="5A27D6D8">
            <w:pPr>
              <w:widowControl/>
              <w:jc w:val="left"/>
              <w:rPr>
                <w:rFonts w:ascii="宋体" w:hAnsi="宋体" w:eastAsia="宋体" w:cs="宋体"/>
                <w:kern w:val="0"/>
                <w:sz w:val="24"/>
                <w:szCs w:val="24"/>
              </w:rPr>
            </w:pPr>
            <w:r>
              <w:rPr>
                <w:rFonts w:hint="eastAsia" w:ascii="宋体" w:hAnsi="宋体" w:eastAsia="宋体" w:cs="宋体"/>
                <w:kern w:val="0"/>
                <w:sz w:val="24"/>
                <w:szCs w:val="24"/>
              </w:rPr>
              <w:t>1、投标人应认真核对账户信息，将投标保证金汇入以上账户，并自行承担因汇错投标保证金而产生的一切后果。</w:t>
            </w:r>
          </w:p>
          <w:p w14:paraId="35FCC726">
            <w:pPr>
              <w:widowControl/>
              <w:jc w:val="left"/>
              <w:rPr>
                <w:rFonts w:ascii="宋体" w:hAnsi="宋体" w:eastAsia="宋体" w:cs="宋体"/>
                <w:kern w:val="0"/>
                <w:sz w:val="24"/>
                <w:szCs w:val="24"/>
              </w:rPr>
            </w:pPr>
            <w:r>
              <w:rPr>
                <w:rFonts w:hint="eastAsia" w:ascii="宋体" w:hAnsi="宋体" w:eastAsia="宋体" w:cs="宋体"/>
                <w:kern w:val="0"/>
                <w:sz w:val="24"/>
                <w:szCs w:val="24"/>
              </w:rPr>
              <w:t>2、投标人在转账或电汇的凭证上应按照以下格式注明，以便核对：“（项目编号：</w:t>
            </w:r>
            <w:r>
              <w:rPr>
                <w:rFonts w:ascii="Times New Roman" w:hAnsi="Times New Roman" w:eastAsia="宋体" w:cs="Times New Roman"/>
                <w:kern w:val="0"/>
                <w:sz w:val="24"/>
                <w:szCs w:val="24"/>
              </w:rPr>
              <w:t>***</w:t>
            </w:r>
            <w:r>
              <w:rPr>
                <w:rFonts w:hint="eastAsia" w:ascii="宋体" w:hAnsi="宋体" w:eastAsia="宋体" w:cs="宋体"/>
                <w:kern w:val="0"/>
                <w:sz w:val="24"/>
                <w:szCs w:val="24"/>
              </w:rPr>
              <w:t>）的投标保证金”。</w:t>
            </w:r>
          </w:p>
        </w:tc>
      </w:tr>
    </w:tbl>
    <w:p w14:paraId="27FA33DE">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14:paraId="7B122537">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14:paraId="778E8C23">
      <w:pPr>
        <w:widowControl/>
        <w:jc w:val="left"/>
        <w:rPr>
          <w:rFonts w:ascii="宋体" w:hAnsi="宋体" w:eastAsia="宋体" w:cs="宋体"/>
          <w:kern w:val="0"/>
          <w:sz w:val="24"/>
          <w:szCs w:val="24"/>
        </w:rPr>
      </w:pPr>
      <w:r>
        <w:rPr>
          <w:rFonts w:ascii="宋体" w:hAnsi="宋体" w:eastAsia="宋体" w:cs="宋体"/>
          <w:kern w:val="0"/>
          <w:sz w:val="24"/>
          <w:szCs w:val="24"/>
        </w:rPr>
        <w:br w:type="page"/>
      </w:r>
    </w:p>
    <w:p w14:paraId="7D8609B4">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附</w:t>
      </w:r>
      <w:r>
        <w:rPr>
          <w:rFonts w:ascii="宋体" w:hAnsi="宋体" w:eastAsia="宋体" w:cs="宋体"/>
          <w:kern w:val="0"/>
          <w:sz w:val="24"/>
          <w:szCs w:val="24"/>
        </w:rPr>
        <w:t>2</w:t>
      </w:r>
      <w:r>
        <w:rPr>
          <w:rFonts w:hint="eastAsia" w:ascii="宋体" w:hAnsi="宋体" w:eastAsia="宋体" w:cs="宋体"/>
          <w:kern w:val="0"/>
          <w:sz w:val="24"/>
          <w:szCs w:val="24"/>
        </w:rPr>
        <w:t>：采购标的一览表</w:t>
      </w:r>
    </w:p>
    <w:p w14:paraId="2AF27F3D">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14:paraId="63B01011">
      <w:pPr>
        <w:widowControl/>
        <w:spacing w:after="150"/>
        <w:jc w:val="right"/>
        <w:rPr>
          <w:rFonts w:ascii="宋体" w:hAnsi="宋体" w:eastAsia="宋体" w:cs="宋体"/>
          <w:kern w:val="0"/>
          <w:sz w:val="24"/>
          <w:szCs w:val="24"/>
        </w:rPr>
      </w:pPr>
      <w:r>
        <w:rPr>
          <w:rFonts w:hint="eastAsia" w:ascii="宋体" w:hAnsi="宋体" w:eastAsia="宋体" w:cs="宋体"/>
          <w:kern w:val="0"/>
          <w:sz w:val="24"/>
          <w:szCs w:val="24"/>
        </w:rPr>
        <w:t>金额单位：人民币元</w:t>
      </w:r>
    </w:p>
    <w:tbl>
      <w:tblPr>
        <w:tblStyle w:val="9"/>
        <w:tblW w:w="5000" w:type="pct"/>
        <w:tblInd w:w="0" w:type="dxa"/>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autofit"/>
        <w:tblCellMar>
          <w:top w:w="0" w:type="dxa"/>
          <w:left w:w="0" w:type="dxa"/>
          <w:bottom w:w="0" w:type="dxa"/>
          <w:right w:w="0" w:type="dxa"/>
        </w:tblCellMar>
      </w:tblPr>
      <w:tblGrid>
        <w:gridCol w:w="791"/>
        <w:gridCol w:w="791"/>
        <w:gridCol w:w="1623"/>
        <w:gridCol w:w="791"/>
        <w:gridCol w:w="791"/>
        <w:gridCol w:w="791"/>
        <w:gridCol w:w="976"/>
        <w:gridCol w:w="976"/>
        <w:gridCol w:w="792"/>
      </w:tblGrid>
      <w:tr w14:paraId="3DB8EDEC">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PrEx>
        <w:trPr>
          <w:tblHeader/>
        </w:trPr>
        <w:tc>
          <w:tcPr>
            <w:tcW w:w="50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186346B5">
            <w:pPr>
              <w:widowControl/>
              <w:jc w:val="center"/>
              <w:rPr>
                <w:rFonts w:ascii="宋体" w:hAnsi="宋体" w:eastAsia="宋体" w:cs="宋体"/>
                <w:kern w:val="0"/>
                <w:sz w:val="24"/>
                <w:szCs w:val="24"/>
              </w:rPr>
            </w:pPr>
            <w:r>
              <w:rPr>
                <w:rFonts w:ascii="宋体" w:hAnsi="宋体" w:eastAsia="宋体" w:cs="宋体"/>
                <w:kern w:val="0"/>
                <w:sz w:val="24"/>
                <w:szCs w:val="24"/>
              </w:rPr>
              <w:t>采购包</w:t>
            </w:r>
          </w:p>
        </w:tc>
        <w:tc>
          <w:tcPr>
            <w:tcW w:w="50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60B52AC5">
            <w:pPr>
              <w:widowControl/>
              <w:jc w:val="center"/>
              <w:rPr>
                <w:rFonts w:ascii="宋体" w:hAnsi="宋体" w:eastAsia="宋体" w:cs="宋体"/>
                <w:kern w:val="0"/>
                <w:sz w:val="24"/>
                <w:szCs w:val="24"/>
              </w:rPr>
            </w:pPr>
            <w:r>
              <w:rPr>
                <w:rFonts w:ascii="宋体" w:hAnsi="宋体" w:eastAsia="宋体" w:cs="宋体"/>
                <w:kern w:val="0"/>
                <w:sz w:val="24"/>
                <w:szCs w:val="24"/>
              </w:rPr>
              <w:t>品目号</w:t>
            </w:r>
          </w:p>
        </w:tc>
        <w:tc>
          <w:tcPr>
            <w:tcW w:w="100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1FFE578D">
            <w:pPr>
              <w:widowControl/>
              <w:jc w:val="center"/>
              <w:rPr>
                <w:rFonts w:ascii="宋体" w:hAnsi="宋体" w:eastAsia="宋体" w:cs="宋体"/>
                <w:kern w:val="0"/>
                <w:sz w:val="24"/>
                <w:szCs w:val="24"/>
              </w:rPr>
            </w:pPr>
            <w:r>
              <w:rPr>
                <w:rFonts w:ascii="宋体" w:hAnsi="宋体" w:eastAsia="宋体" w:cs="宋体"/>
                <w:kern w:val="0"/>
                <w:sz w:val="24"/>
                <w:szCs w:val="24"/>
              </w:rPr>
              <w:t>采购标的</w:t>
            </w:r>
          </w:p>
        </w:tc>
        <w:tc>
          <w:tcPr>
            <w:tcW w:w="50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0D873F4B">
            <w:pPr>
              <w:widowControl/>
              <w:jc w:val="center"/>
              <w:rPr>
                <w:rFonts w:ascii="宋体" w:hAnsi="宋体" w:eastAsia="宋体" w:cs="宋体"/>
                <w:kern w:val="0"/>
                <w:sz w:val="24"/>
                <w:szCs w:val="24"/>
              </w:rPr>
            </w:pPr>
            <w:r>
              <w:rPr>
                <w:rFonts w:ascii="宋体" w:hAnsi="宋体" w:eastAsia="宋体" w:cs="宋体"/>
                <w:kern w:val="0"/>
                <w:sz w:val="24"/>
                <w:szCs w:val="24"/>
              </w:rPr>
              <w:t>允许进口</w:t>
            </w:r>
          </w:p>
        </w:tc>
        <w:tc>
          <w:tcPr>
            <w:tcW w:w="50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001F2EE1">
            <w:pPr>
              <w:widowControl/>
              <w:jc w:val="center"/>
              <w:rPr>
                <w:rFonts w:ascii="宋体" w:hAnsi="宋体" w:eastAsia="宋体" w:cs="宋体"/>
                <w:kern w:val="0"/>
                <w:sz w:val="24"/>
                <w:szCs w:val="24"/>
              </w:rPr>
            </w:pPr>
            <w:r>
              <w:rPr>
                <w:rFonts w:ascii="宋体" w:hAnsi="宋体" w:eastAsia="宋体" w:cs="宋体"/>
                <w:kern w:val="0"/>
                <w:sz w:val="24"/>
                <w:szCs w:val="24"/>
              </w:rPr>
              <w:t>数量</w:t>
            </w:r>
          </w:p>
        </w:tc>
        <w:tc>
          <w:tcPr>
            <w:tcW w:w="50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5F83E760">
            <w:pPr>
              <w:widowControl/>
              <w:jc w:val="center"/>
              <w:rPr>
                <w:rFonts w:ascii="宋体" w:hAnsi="宋体" w:eastAsia="宋体" w:cs="宋体"/>
                <w:kern w:val="0"/>
                <w:sz w:val="24"/>
                <w:szCs w:val="24"/>
              </w:rPr>
            </w:pPr>
            <w:r>
              <w:rPr>
                <w:rFonts w:ascii="宋体" w:hAnsi="宋体" w:eastAsia="宋体" w:cs="宋体"/>
                <w:kern w:val="0"/>
                <w:sz w:val="24"/>
                <w:szCs w:val="24"/>
              </w:rPr>
              <w:t>品目号预算</w:t>
            </w:r>
          </w:p>
        </w:tc>
        <w:tc>
          <w:tcPr>
            <w:tcW w:w="50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393CAB77">
            <w:pPr>
              <w:widowControl/>
              <w:jc w:val="center"/>
              <w:rPr>
                <w:rFonts w:ascii="宋体" w:hAnsi="宋体" w:eastAsia="宋体" w:cs="宋体"/>
                <w:kern w:val="0"/>
                <w:sz w:val="24"/>
                <w:szCs w:val="24"/>
              </w:rPr>
            </w:pPr>
            <w:r>
              <w:rPr>
                <w:rFonts w:ascii="宋体" w:hAnsi="宋体" w:eastAsia="宋体" w:cs="宋体"/>
                <w:kern w:val="0"/>
                <w:sz w:val="24"/>
                <w:szCs w:val="24"/>
              </w:rPr>
              <w:t>采购包预算</w:t>
            </w:r>
          </w:p>
        </w:tc>
        <w:tc>
          <w:tcPr>
            <w:tcW w:w="50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4829D1DB">
            <w:pPr>
              <w:widowControl/>
              <w:jc w:val="center"/>
              <w:rPr>
                <w:rFonts w:ascii="宋体" w:hAnsi="宋体" w:eastAsia="宋体" w:cs="宋体"/>
                <w:kern w:val="0"/>
                <w:sz w:val="24"/>
                <w:szCs w:val="24"/>
              </w:rPr>
            </w:pPr>
            <w:r>
              <w:rPr>
                <w:rFonts w:ascii="宋体" w:hAnsi="宋体" w:eastAsia="宋体" w:cs="宋体"/>
                <w:kern w:val="0"/>
                <w:sz w:val="24"/>
                <w:szCs w:val="24"/>
              </w:rPr>
              <w:t>采购包最高限价</w:t>
            </w:r>
          </w:p>
        </w:tc>
        <w:tc>
          <w:tcPr>
            <w:tcW w:w="50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30929894">
            <w:pPr>
              <w:widowControl/>
              <w:jc w:val="center"/>
              <w:rPr>
                <w:rFonts w:ascii="宋体" w:hAnsi="宋体" w:eastAsia="宋体" w:cs="宋体"/>
                <w:kern w:val="0"/>
                <w:sz w:val="24"/>
                <w:szCs w:val="24"/>
              </w:rPr>
            </w:pPr>
            <w:r>
              <w:rPr>
                <w:rFonts w:ascii="宋体" w:hAnsi="宋体" w:eastAsia="宋体" w:cs="宋体"/>
                <w:kern w:val="0"/>
                <w:sz w:val="24"/>
                <w:szCs w:val="24"/>
              </w:rPr>
              <w:t>投标保证金</w:t>
            </w:r>
          </w:p>
        </w:tc>
      </w:tr>
      <w:tr w14:paraId="2B1CFE09">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03D0B996">
            <w:pPr>
              <w:widowControl/>
              <w:jc w:val="center"/>
              <w:rPr>
                <w:rFonts w:ascii="宋体" w:hAnsi="宋体" w:eastAsia="宋体" w:cs="宋体"/>
                <w:kern w:val="0"/>
                <w:sz w:val="24"/>
                <w:szCs w:val="24"/>
              </w:rPr>
            </w:pPr>
            <w:r>
              <w:rPr>
                <w:rFonts w:ascii="宋体" w:hAnsi="宋体" w:eastAsia="宋体" w:cs="宋体"/>
                <w:kern w:val="0"/>
                <w:sz w:val="24"/>
                <w:szCs w:val="24"/>
              </w:rPr>
              <w:t>1</w:t>
            </w:r>
          </w:p>
        </w:tc>
        <w:tc>
          <w:tcPr>
            <w:tcW w:w="0" w:type="auto"/>
            <w:gridSpan w:val="5"/>
            <w:tcBorders>
              <w:top w:val="single" w:color="666666" w:sz="6" w:space="0"/>
              <w:left w:val="single" w:color="666666" w:sz="6" w:space="0"/>
              <w:bottom w:val="single" w:color="666666" w:sz="6" w:space="0"/>
              <w:right w:val="single" w:color="666666" w:sz="6" w:space="0"/>
            </w:tcBorders>
            <w:shd w:val="clear" w:color="auto" w:fill="FFFFFF"/>
            <w:vAlign w:val="center"/>
          </w:tcPr>
          <w:tbl>
            <w:tblPr>
              <w:tblStyle w:val="9"/>
              <w:tblW w:w="5000" w:type="pct"/>
              <w:jc w:val="center"/>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autofit"/>
              <w:tblCellMar>
                <w:top w:w="0" w:type="dxa"/>
                <w:left w:w="0" w:type="dxa"/>
                <w:bottom w:w="0" w:type="dxa"/>
                <w:right w:w="0" w:type="dxa"/>
              </w:tblCellMar>
            </w:tblPr>
            <w:tblGrid>
              <w:gridCol w:w="496"/>
              <w:gridCol w:w="1237"/>
              <w:gridCol w:w="471"/>
              <w:gridCol w:w="736"/>
              <w:gridCol w:w="1816"/>
            </w:tblGrid>
            <w:tr w14:paraId="13E18AB5">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rPr>
                <w:jc w:val="center"/>
              </w:trPr>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7E7216BC">
                  <w:pPr>
                    <w:widowControl/>
                    <w:jc w:val="left"/>
                    <w:rPr>
                      <w:rFonts w:ascii="宋体" w:hAnsi="宋体" w:eastAsia="宋体" w:cs="宋体"/>
                      <w:kern w:val="0"/>
                      <w:sz w:val="24"/>
                      <w:szCs w:val="24"/>
                    </w:rPr>
                  </w:pPr>
                  <w:r>
                    <w:rPr>
                      <w:rFonts w:ascii="宋体" w:hAnsi="宋体" w:eastAsia="宋体" w:cs="宋体"/>
                      <w:kern w:val="0"/>
                      <w:sz w:val="24"/>
                      <w:szCs w:val="24"/>
                    </w:rPr>
                    <w:t>1-1</w:t>
                  </w:r>
                </w:p>
              </w:tc>
              <w:tc>
                <w:tcPr>
                  <w:tcW w:w="150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48B3822D">
                  <w:pPr>
                    <w:widowControl/>
                    <w:jc w:val="left"/>
                    <w:rPr>
                      <w:rFonts w:ascii="宋体" w:hAnsi="宋体" w:eastAsia="宋体" w:cs="宋体"/>
                      <w:kern w:val="0"/>
                      <w:sz w:val="24"/>
                      <w:szCs w:val="24"/>
                    </w:rPr>
                  </w:pPr>
                  <w:r>
                    <w:rPr>
                      <w:rFonts w:ascii="宋体" w:hAnsi="宋体" w:eastAsia="宋体" w:cs="宋体"/>
                      <w:kern w:val="0"/>
                      <w:sz w:val="24"/>
                      <w:szCs w:val="24"/>
                    </w:rPr>
                    <w:t>数据库服务器高性能计算节点</w:t>
                  </w:r>
                </w:p>
              </w:tc>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1BFDFF2D">
                  <w:pPr>
                    <w:widowControl/>
                    <w:jc w:val="left"/>
                    <w:rPr>
                      <w:rFonts w:ascii="宋体" w:hAnsi="宋体" w:eastAsia="宋体" w:cs="宋体"/>
                      <w:kern w:val="0"/>
                      <w:sz w:val="24"/>
                      <w:szCs w:val="24"/>
                    </w:rPr>
                  </w:pPr>
                  <w:r>
                    <w:rPr>
                      <w:rFonts w:ascii="宋体" w:hAnsi="宋体" w:eastAsia="宋体" w:cs="宋体"/>
                      <w:kern w:val="0"/>
                      <w:sz w:val="24"/>
                      <w:szCs w:val="24"/>
                    </w:rPr>
                    <w:t>否</w:t>
                  </w:r>
                </w:p>
              </w:tc>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1F37CD12">
                  <w:pPr>
                    <w:widowControl/>
                    <w:jc w:val="left"/>
                    <w:rPr>
                      <w:rFonts w:ascii="宋体" w:hAnsi="宋体" w:eastAsia="宋体" w:cs="宋体"/>
                      <w:kern w:val="0"/>
                      <w:sz w:val="24"/>
                      <w:szCs w:val="24"/>
                    </w:rPr>
                  </w:pPr>
                  <w:r>
                    <w:rPr>
                      <w:rFonts w:ascii="宋体" w:hAnsi="宋体" w:eastAsia="宋体" w:cs="宋体"/>
                      <w:kern w:val="0"/>
                      <w:sz w:val="24"/>
                      <w:szCs w:val="24"/>
                    </w:rPr>
                    <w:t>15（套）</w:t>
                  </w:r>
                </w:p>
              </w:tc>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3E43D1F8">
                  <w:pPr>
                    <w:widowControl/>
                    <w:jc w:val="left"/>
                    <w:rPr>
                      <w:rFonts w:ascii="宋体" w:hAnsi="宋体" w:eastAsia="宋体" w:cs="宋体"/>
                      <w:kern w:val="0"/>
                      <w:sz w:val="24"/>
                      <w:szCs w:val="24"/>
                    </w:rPr>
                  </w:pPr>
                  <w:r>
                    <w:rPr>
                      <w:rFonts w:ascii="宋体" w:hAnsi="宋体" w:eastAsia="宋体" w:cs="宋体"/>
                      <w:kern w:val="0"/>
                      <w:sz w:val="24"/>
                      <w:szCs w:val="24"/>
                    </w:rPr>
                    <w:t>1,950,000.0000</w:t>
                  </w:r>
                </w:p>
              </w:tc>
            </w:tr>
            <w:tr w14:paraId="1ECCD06E">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rPr>
                <w:jc w:val="center"/>
              </w:trPr>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3560DADB">
                  <w:pPr>
                    <w:widowControl/>
                    <w:jc w:val="left"/>
                    <w:rPr>
                      <w:rFonts w:ascii="宋体" w:hAnsi="宋体" w:eastAsia="宋体" w:cs="宋体"/>
                      <w:kern w:val="0"/>
                      <w:sz w:val="24"/>
                      <w:szCs w:val="24"/>
                    </w:rPr>
                  </w:pPr>
                  <w:r>
                    <w:rPr>
                      <w:rFonts w:ascii="宋体" w:hAnsi="宋体" w:eastAsia="宋体" w:cs="宋体"/>
                      <w:kern w:val="0"/>
                      <w:sz w:val="24"/>
                      <w:szCs w:val="24"/>
                    </w:rPr>
                    <w:t>1-2</w:t>
                  </w:r>
                </w:p>
              </w:tc>
              <w:tc>
                <w:tcPr>
                  <w:tcW w:w="150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2227BFEB">
                  <w:pPr>
                    <w:widowControl/>
                    <w:jc w:val="left"/>
                    <w:rPr>
                      <w:rFonts w:ascii="宋体" w:hAnsi="宋体" w:eastAsia="宋体" w:cs="宋体"/>
                      <w:kern w:val="0"/>
                      <w:sz w:val="24"/>
                      <w:szCs w:val="24"/>
                    </w:rPr>
                  </w:pPr>
                  <w:r>
                    <w:rPr>
                      <w:rFonts w:ascii="宋体" w:hAnsi="宋体" w:eastAsia="宋体" w:cs="宋体"/>
                      <w:kern w:val="0"/>
                      <w:sz w:val="24"/>
                      <w:szCs w:val="24"/>
                    </w:rPr>
                    <w:t>数据库服务器计算节点</w:t>
                  </w:r>
                </w:p>
              </w:tc>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109F2E4B">
                  <w:pPr>
                    <w:widowControl/>
                    <w:jc w:val="left"/>
                    <w:rPr>
                      <w:rFonts w:ascii="宋体" w:hAnsi="宋体" w:eastAsia="宋体" w:cs="宋体"/>
                      <w:kern w:val="0"/>
                      <w:sz w:val="24"/>
                      <w:szCs w:val="24"/>
                    </w:rPr>
                  </w:pPr>
                  <w:r>
                    <w:rPr>
                      <w:rFonts w:ascii="宋体" w:hAnsi="宋体" w:eastAsia="宋体" w:cs="宋体"/>
                      <w:kern w:val="0"/>
                      <w:sz w:val="24"/>
                      <w:szCs w:val="24"/>
                    </w:rPr>
                    <w:t>否</w:t>
                  </w:r>
                </w:p>
              </w:tc>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79914D3A">
                  <w:pPr>
                    <w:widowControl/>
                    <w:jc w:val="left"/>
                    <w:rPr>
                      <w:rFonts w:ascii="宋体" w:hAnsi="宋体" w:eastAsia="宋体" w:cs="宋体"/>
                      <w:kern w:val="0"/>
                      <w:sz w:val="24"/>
                      <w:szCs w:val="24"/>
                    </w:rPr>
                  </w:pPr>
                  <w:r>
                    <w:rPr>
                      <w:rFonts w:ascii="宋体" w:hAnsi="宋体" w:eastAsia="宋体" w:cs="宋体"/>
                      <w:kern w:val="0"/>
                      <w:sz w:val="24"/>
                      <w:szCs w:val="24"/>
                    </w:rPr>
                    <w:t>15（套）</w:t>
                  </w:r>
                </w:p>
              </w:tc>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6468EA36">
                  <w:pPr>
                    <w:widowControl/>
                    <w:jc w:val="left"/>
                    <w:rPr>
                      <w:rFonts w:ascii="宋体" w:hAnsi="宋体" w:eastAsia="宋体" w:cs="宋体"/>
                      <w:kern w:val="0"/>
                      <w:sz w:val="24"/>
                      <w:szCs w:val="24"/>
                    </w:rPr>
                  </w:pPr>
                  <w:r>
                    <w:rPr>
                      <w:rFonts w:ascii="宋体" w:hAnsi="宋体" w:eastAsia="宋体" w:cs="宋体"/>
                      <w:kern w:val="0"/>
                      <w:sz w:val="24"/>
                      <w:szCs w:val="24"/>
                    </w:rPr>
                    <w:t>1,200,000.0000</w:t>
                  </w:r>
                </w:p>
              </w:tc>
            </w:tr>
            <w:tr w14:paraId="55003653">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rPr>
                <w:jc w:val="center"/>
              </w:trPr>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10A65BE8">
                  <w:pPr>
                    <w:widowControl/>
                    <w:jc w:val="left"/>
                    <w:rPr>
                      <w:rFonts w:ascii="宋体" w:hAnsi="宋体" w:eastAsia="宋体" w:cs="宋体"/>
                      <w:kern w:val="0"/>
                      <w:sz w:val="24"/>
                      <w:szCs w:val="24"/>
                    </w:rPr>
                  </w:pPr>
                  <w:r>
                    <w:rPr>
                      <w:rFonts w:ascii="宋体" w:hAnsi="宋体" w:eastAsia="宋体" w:cs="宋体"/>
                      <w:kern w:val="0"/>
                      <w:sz w:val="24"/>
                      <w:szCs w:val="24"/>
                    </w:rPr>
                    <w:t>1-3</w:t>
                  </w:r>
                </w:p>
              </w:tc>
              <w:tc>
                <w:tcPr>
                  <w:tcW w:w="150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160CA771">
                  <w:pPr>
                    <w:widowControl/>
                    <w:jc w:val="left"/>
                    <w:rPr>
                      <w:rFonts w:ascii="宋体" w:hAnsi="宋体" w:eastAsia="宋体" w:cs="宋体"/>
                      <w:kern w:val="0"/>
                      <w:sz w:val="24"/>
                      <w:szCs w:val="24"/>
                    </w:rPr>
                  </w:pPr>
                  <w:r>
                    <w:rPr>
                      <w:rFonts w:ascii="宋体" w:hAnsi="宋体" w:eastAsia="宋体" w:cs="宋体"/>
                      <w:kern w:val="0"/>
                      <w:sz w:val="24"/>
                      <w:szCs w:val="24"/>
                    </w:rPr>
                    <w:t>服务器接入交换机</w:t>
                  </w:r>
                </w:p>
              </w:tc>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30A5E6DC">
                  <w:pPr>
                    <w:widowControl/>
                    <w:jc w:val="left"/>
                    <w:rPr>
                      <w:rFonts w:ascii="宋体" w:hAnsi="宋体" w:eastAsia="宋体" w:cs="宋体"/>
                      <w:kern w:val="0"/>
                      <w:sz w:val="24"/>
                      <w:szCs w:val="24"/>
                    </w:rPr>
                  </w:pPr>
                  <w:r>
                    <w:rPr>
                      <w:rFonts w:ascii="宋体" w:hAnsi="宋体" w:eastAsia="宋体" w:cs="宋体"/>
                      <w:kern w:val="0"/>
                      <w:sz w:val="24"/>
                      <w:szCs w:val="24"/>
                    </w:rPr>
                    <w:t>否</w:t>
                  </w:r>
                </w:p>
              </w:tc>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66749EA0">
                  <w:pPr>
                    <w:widowControl/>
                    <w:jc w:val="left"/>
                    <w:rPr>
                      <w:rFonts w:ascii="宋体" w:hAnsi="宋体" w:eastAsia="宋体" w:cs="宋体"/>
                      <w:kern w:val="0"/>
                      <w:sz w:val="24"/>
                      <w:szCs w:val="24"/>
                    </w:rPr>
                  </w:pPr>
                  <w:r>
                    <w:rPr>
                      <w:rFonts w:ascii="宋体" w:hAnsi="宋体" w:eastAsia="宋体" w:cs="宋体"/>
                      <w:kern w:val="0"/>
                      <w:sz w:val="24"/>
                      <w:szCs w:val="24"/>
                    </w:rPr>
                    <w:t>26（套）</w:t>
                  </w:r>
                </w:p>
              </w:tc>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7333BC55">
                  <w:pPr>
                    <w:widowControl/>
                    <w:jc w:val="left"/>
                    <w:rPr>
                      <w:rFonts w:ascii="宋体" w:hAnsi="宋体" w:eastAsia="宋体" w:cs="宋体"/>
                      <w:kern w:val="0"/>
                      <w:sz w:val="24"/>
                      <w:szCs w:val="24"/>
                    </w:rPr>
                  </w:pPr>
                  <w:r>
                    <w:rPr>
                      <w:rFonts w:ascii="宋体" w:hAnsi="宋体" w:eastAsia="宋体" w:cs="宋体"/>
                      <w:kern w:val="0"/>
                      <w:sz w:val="24"/>
                      <w:szCs w:val="24"/>
                    </w:rPr>
                    <w:t>3,250,000.0000</w:t>
                  </w:r>
                </w:p>
              </w:tc>
            </w:tr>
            <w:tr w14:paraId="4D8248C5">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rPr>
                <w:jc w:val="center"/>
              </w:trPr>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011520EF">
                  <w:pPr>
                    <w:widowControl/>
                    <w:jc w:val="left"/>
                    <w:rPr>
                      <w:rFonts w:ascii="宋体" w:hAnsi="宋体" w:eastAsia="宋体" w:cs="宋体"/>
                      <w:kern w:val="0"/>
                      <w:sz w:val="24"/>
                      <w:szCs w:val="24"/>
                    </w:rPr>
                  </w:pPr>
                  <w:r>
                    <w:rPr>
                      <w:rFonts w:ascii="宋体" w:hAnsi="宋体" w:eastAsia="宋体" w:cs="宋体"/>
                      <w:kern w:val="0"/>
                      <w:sz w:val="24"/>
                      <w:szCs w:val="24"/>
                    </w:rPr>
                    <w:t>1-4</w:t>
                  </w:r>
                </w:p>
              </w:tc>
              <w:tc>
                <w:tcPr>
                  <w:tcW w:w="150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05ED8012">
                  <w:pPr>
                    <w:widowControl/>
                    <w:jc w:val="left"/>
                    <w:rPr>
                      <w:rFonts w:ascii="宋体" w:hAnsi="宋体" w:eastAsia="宋体" w:cs="宋体"/>
                      <w:kern w:val="0"/>
                      <w:sz w:val="24"/>
                      <w:szCs w:val="24"/>
                    </w:rPr>
                  </w:pPr>
                  <w:r>
                    <w:rPr>
                      <w:rFonts w:ascii="宋体" w:hAnsi="宋体" w:eastAsia="宋体" w:cs="宋体"/>
                      <w:kern w:val="0"/>
                      <w:sz w:val="24"/>
                      <w:szCs w:val="24"/>
                    </w:rPr>
                    <w:t>带外管理交换机</w:t>
                  </w:r>
                </w:p>
              </w:tc>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63E5EE82">
                  <w:pPr>
                    <w:widowControl/>
                    <w:jc w:val="left"/>
                    <w:rPr>
                      <w:rFonts w:ascii="宋体" w:hAnsi="宋体" w:eastAsia="宋体" w:cs="宋体"/>
                      <w:kern w:val="0"/>
                      <w:sz w:val="24"/>
                      <w:szCs w:val="24"/>
                    </w:rPr>
                  </w:pPr>
                  <w:r>
                    <w:rPr>
                      <w:rFonts w:ascii="宋体" w:hAnsi="宋体" w:eastAsia="宋体" w:cs="宋体"/>
                      <w:kern w:val="0"/>
                      <w:sz w:val="24"/>
                      <w:szCs w:val="24"/>
                    </w:rPr>
                    <w:t>否</w:t>
                  </w:r>
                </w:p>
              </w:tc>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053576B0">
                  <w:pPr>
                    <w:widowControl/>
                    <w:jc w:val="left"/>
                    <w:rPr>
                      <w:rFonts w:ascii="宋体" w:hAnsi="宋体" w:eastAsia="宋体" w:cs="宋体"/>
                      <w:kern w:val="0"/>
                      <w:sz w:val="24"/>
                      <w:szCs w:val="24"/>
                    </w:rPr>
                  </w:pPr>
                  <w:r>
                    <w:rPr>
                      <w:rFonts w:ascii="宋体" w:hAnsi="宋体" w:eastAsia="宋体" w:cs="宋体"/>
                      <w:kern w:val="0"/>
                      <w:sz w:val="24"/>
                      <w:szCs w:val="24"/>
                    </w:rPr>
                    <w:t>18（套）</w:t>
                  </w:r>
                </w:p>
              </w:tc>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2DB52148">
                  <w:pPr>
                    <w:widowControl/>
                    <w:jc w:val="left"/>
                    <w:rPr>
                      <w:rFonts w:ascii="宋体" w:hAnsi="宋体" w:eastAsia="宋体" w:cs="宋体"/>
                      <w:kern w:val="0"/>
                      <w:sz w:val="24"/>
                      <w:szCs w:val="24"/>
                    </w:rPr>
                  </w:pPr>
                  <w:r>
                    <w:rPr>
                      <w:rFonts w:ascii="宋体" w:hAnsi="宋体" w:eastAsia="宋体" w:cs="宋体"/>
                      <w:kern w:val="0"/>
                      <w:sz w:val="24"/>
                      <w:szCs w:val="24"/>
                    </w:rPr>
                    <w:t>198,000.0000</w:t>
                  </w:r>
                </w:p>
              </w:tc>
            </w:tr>
            <w:tr w14:paraId="71AFCFC6">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rPr>
                <w:jc w:val="center"/>
              </w:trPr>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7E8BD7CC">
                  <w:pPr>
                    <w:widowControl/>
                    <w:jc w:val="left"/>
                    <w:rPr>
                      <w:rFonts w:ascii="宋体" w:hAnsi="宋体" w:eastAsia="宋体" w:cs="宋体"/>
                      <w:kern w:val="0"/>
                      <w:sz w:val="24"/>
                      <w:szCs w:val="24"/>
                    </w:rPr>
                  </w:pPr>
                  <w:r>
                    <w:rPr>
                      <w:rFonts w:ascii="宋体" w:hAnsi="宋体" w:eastAsia="宋体" w:cs="宋体"/>
                      <w:kern w:val="0"/>
                      <w:sz w:val="24"/>
                      <w:szCs w:val="24"/>
                    </w:rPr>
                    <w:t>1-5</w:t>
                  </w:r>
                </w:p>
              </w:tc>
              <w:tc>
                <w:tcPr>
                  <w:tcW w:w="150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24BA8840">
                  <w:pPr>
                    <w:widowControl/>
                    <w:jc w:val="left"/>
                    <w:rPr>
                      <w:rFonts w:ascii="宋体" w:hAnsi="宋体" w:eastAsia="宋体" w:cs="宋体"/>
                      <w:kern w:val="0"/>
                      <w:sz w:val="24"/>
                      <w:szCs w:val="24"/>
                    </w:rPr>
                  </w:pPr>
                  <w:r>
                    <w:rPr>
                      <w:rFonts w:ascii="宋体" w:hAnsi="宋体" w:eastAsia="宋体" w:cs="宋体"/>
                      <w:kern w:val="0"/>
                      <w:sz w:val="24"/>
                      <w:szCs w:val="24"/>
                    </w:rPr>
                    <w:t>内外网数据交换区交换机</w:t>
                  </w:r>
                </w:p>
              </w:tc>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107F8763">
                  <w:pPr>
                    <w:widowControl/>
                    <w:jc w:val="left"/>
                    <w:rPr>
                      <w:rFonts w:ascii="宋体" w:hAnsi="宋体" w:eastAsia="宋体" w:cs="宋体"/>
                      <w:kern w:val="0"/>
                      <w:sz w:val="24"/>
                      <w:szCs w:val="24"/>
                    </w:rPr>
                  </w:pPr>
                  <w:r>
                    <w:rPr>
                      <w:rFonts w:ascii="宋体" w:hAnsi="宋体" w:eastAsia="宋体" w:cs="宋体"/>
                      <w:kern w:val="0"/>
                      <w:sz w:val="24"/>
                      <w:szCs w:val="24"/>
                    </w:rPr>
                    <w:t>否</w:t>
                  </w:r>
                </w:p>
              </w:tc>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13B753F1">
                  <w:pPr>
                    <w:widowControl/>
                    <w:jc w:val="left"/>
                    <w:rPr>
                      <w:rFonts w:ascii="宋体" w:hAnsi="宋体" w:eastAsia="宋体" w:cs="宋体"/>
                      <w:kern w:val="0"/>
                      <w:sz w:val="24"/>
                      <w:szCs w:val="24"/>
                    </w:rPr>
                  </w:pPr>
                  <w:r>
                    <w:rPr>
                      <w:rFonts w:ascii="宋体" w:hAnsi="宋体" w:eastAsia="宋体" w:cs="宋体"/>
                      <w:kern w:val="0"/>
                      <w:sz w:val="24"/>
                      <w:szCs w:val="24"/>
                    </w:rPr>
                    <w:t>2（套）</w:t>
                  </w:r>
                </w:p>
              </w:tc>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5D9214DF">
                  <w:pPr>
                    <w:widowControl/>
                    <w:jc w:val="left"/>
                    <w:rPr>
                      <w:rFonts w:ascii="宋体" w:hAnsi="宋体" w:eastAsia="宋体" w:cs="宋体"/>
                      <w:kern w:val="0"/>
                      <w:sz w:val="24"/>
                      <w:szCs w:val="24"/>
                    </w:rPr>
                  </w:pPr>
                  <w:r>
                    <w:rPr>
                      <w:rFonts w:ascii="宋体" w:hAnsi="宋体" w:eastAsia="宋体" w:cs="宋体"/>
                      <w:kern w:val="0"/>
                      <w:sz w:val="24"/>
                      <w:szCs w:val="24"/>
                    </w:rPr>
                    <w:t>60,000.0000</w:t>
                  </w:r>
                </w:p>
              </w:tc>
            </w:tr>
            <w:tr w14:paraId="4F002413">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rPr>
                <w:jc w:val="center"/>
              </w:trPr>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1847FB57">
                  <w:pPr>
                    <w:widowControl/>
                    <w:jc w:val="left"/>
                    <w:rPr>
                      <w:rFonts w:ascii="宋体" w:hAnsi="宋体" w:eastAsia="宋体" w:cs="宋体"/>
                      <w:kern w:val="0"/>
                      <w:sz w:val="24"/>
                      <w:szCs w:val="24"/>
                    </w:rPr>
                  </w:pPr>
                  <w:r>
                    <w:rPr>
                      <w:rFonts w:ascii="宋体" w:hAnsi="宋体" w:eastAsia="宋体" w:cs="宋体"/>
                      <w:kern w:val="0"/>
                      <w:sz w:val="24"/>
                      <w:szCs w:val="24"/>
                    </w:rPr>
                    <w:t>1-6</w:t>
                  </w:r>
                </w:p>
              </w:tc>
              <w:tc>
                <w:tcPr>
                  <w:tcW w:w="150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4640DB59">
                  <w:pPr>
                    <w:widowControl/>
                    <w:jc w:val="left"/>
                    <w:rPr>
                      <w:rFonts w:ascii="宋体" w:hAnsi="宋体" w:eastAsia="宋体" w:cs="宋体"/>
                      <w:kern w:val="0"/>
                      <w:sz w:val="24"/>
                      <w:szCs w:val="24"/>
                    </w:rPr>
                  </w:pPr>
                  <w:r>
                    <w:rPr>
                      <w:rFonts w:ascii="宋体" w:hAnsi="宋体" w:eastAsia="宋体" w:cs="宋体"/>
                      <w:kern w:val="0"/>
                      <w:sz w:val="24"/>
                      <w:szCs w:val="24"/>
                    </w:rPr>
                    <w:t>数据库服务器高性能存储节点</w:t>
                  </w:r>
                </w:p>
              </w:tc>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773745C2">
                  <w:pPr>
                    <w:widowControl/>
                    <w:jc w:val="left"/>
                    <w:rPr>
                      <w:rFonts w:ascii="宋体" w:hAnsi="宋体" w:eastAsia="宋体" w:cs="宋体"/>
                      <w:kern w:val="0"/>
                      <w:sz w:val="24"/>
                      <w:szCs w:val="24"/>
                    </w:rPr>
                  </w:pPr>
                  <w:r>
                    <w:rPr>
                      <w:rFonts w:ascii="宋体" w:hAnsi="宋体" w:eastAsia="宋体" w:cs="宋体"/>
                      <w:kern w:val="0"/>
                      <w:sz w:val="24"/>
                      <w:szCs w:val="24"/>
                    </w:rPr>
                    <w:t>否</w:t>
                  </w:r>
                </w:p>
              </w:tc>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6EE7ABBF">
                  <w:pPr>
                    <w:widowControl/>
                    <w:jc w:val="left"/>
                    <w:rPr>
                      <w:rFonts w:ascii="宋体" w:hAnsi="宋体" w:eastAsia="宋体" w:cs="宋体"/>
                      <w:kern w:val="0"/>
                      <w:sz w:val="24"/>
                      <w:szCs w:val="24"/>
                    </w:rPr>
                  </w:pPr>
                  <w:r>
                    <w:rPr>
                      <w:rFonts w:ascii="宋体" w:hAnsi="宋体" w:eastAsia="宋体" w:cs="宋体"/>
                      <w:kern w:val="0"/>
                      <w:sz w:val="24"/>
                      <w:szCs w:val="24"/>
                    </w:rPr>
                    <w:t>54（套）</w:t>
                  </w:r>
                </w:p>
              </w:tc>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25063599">
                  <w:pPr>
                    <w:widowControl/>
                    <w:jc w:val="left"/>
                    <w:rPr>
                      <w:rFonts w:ascii="宋体" w:hAnsi="宋体" w:eastAsia="宋体" w:cs="宋体"/>
                      <w:kern w:val="0"/>
                      <w:sz w:val="24"/>
                      <w:szCs w:val="24"/>
                    </w:rPr>
                  </w:pPr>
                  <w:r>
                    <w:rPr>
                      <w:rFonts w:ascii="宋体" w:hAnsi="宋体" w:eastAsia="宋体" w:cs="宋体"/>
                      <w:kern w:val="0"/>
                      <w:sz w:val="24"/>
                      <w:szCs w:val="24"/>
                    </w:rPr>
                    <w:t>13,500,000.0000</w:t>
                  </w:r>
                </w:p>
              </w:tc>
            </w:tr>
            <w:tr w14:paraId="71F131F7">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rPr>
                <w:jc w:val="center"/>
              </w:trPr>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2759F4BA">
                  <w:pPr>
                    <w:widowControl/>
                    <w:jc w:val="left"/>
                    <w:rPr>
                      <w:rFonts w:ascii="宋体" w:hAnsi="宋体" w:eastAsia="宋体" w:cs="宋体"/>
                      <w:kern w:val="0"/>
                      <w:sz w:val="24"/>
                      <w:szCs w:val="24"/>
                    </w:rPr>
                  </w:pPr>
                  <w:r>
                    <w:rPr>
                      <w:rFonts w:ascii="宋体" w:hAnsi="宋体" w:eastAsia="宋体" w:cs="宋体"/>
                      <w:kern w:val="0"/>
                      <w:sz w:val="24"/>
                      <w:szCs w:val="24"/>
                    </w:rPr>
                    <w:t>1-7</w:t>
                  </w:r>
                </w:p>
              </w:tc>
              <w:tc>
                <w:tcPr>
                  <w:tcW w:w="150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5F3CB7BD">
                  <w:pPr>
                    <w:widowControl/>
                    <w:jc w:val="left"/>
                    <w:rPr>
                      <w:rFonts w:ascii="宋体" w:hAnsi="宋体" w:eastAsia="宋体" w:cs="宋体"/>
                      <w:kern w:val="0"/>
                      <w:sz w:val="24"/>
                      <w:szCs w:val="24"/>
                    </w:rPr>
                  </w:pPr>
                  <w:r>
                    <w:rPr>
                      <w:rFonts w:ascii="宋体" w:hAnsi="宋体" w:eastAsia="宋体" w:cs="宋体"/>
                      <w:kern w:val="0"/>
                      <w:sz w:val="24"/>
                      <w:szCs w:val="24"/>
                    </w:rPr>
                    <w:t>数据库服务器存储节点</w:t>
                  </w:r>
                </w:p>
              </w:tc>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7F2A811A">
                  <w:pPr>
                    <w:widowControl/>
                    <w:jc w:val="left"/>
                    <w:rPr>
                      <w:rFonts w:ascii="宋体" w:hAnsi="宋体" w:eastAsia="宋体" w:cs="宋体"/>
                      <w:kern w:val="0"/>
                      <w:sz w:val="24"/>
                      <w:szCs w:val="24"/>
                    </w:rPr>
                  </w:pPr>
                  <w:r>
                    <w:rPr>
                      <w:rFonts w:ascii="宋体" w:hAnsi="宋体" w:eastAsia="宋体" w:cs="宋体"/>
                      <w:kern w:val="0"/>
                      <w:sz w:val="24"/>
                      <w:szCs w:val="24"/>
                    </w:rPr>
                    <w:t>否</w:t>
                  </w:r>
                </w:p>
              </w:tc>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056D411C">
                  <w:pPr>
                    <w:widowControl/>
                    <w:jc w:val="left"/>
                    <w:rPr>
                      <w:rFonts w:ascii="宋体" w:hAnsi="宋体" w:eastAsia="宋体" w:cs="宋体"/>
                      <w:kern w:val="0"/>
                      <w:sz w:val="24"/>
                      <w:szCs w:val="24"/>
                    </w:rPr>
                  </w:pPr>
                  <w:r>
                    <w:rPr>
                      <w:rFonts w:ascii="宋体" w:hAnsi="宋体" w:eastAsia="宋体" w:cs="宋体"/>
                      <w:kern w:val="0"/>
                      <w:sz w:val="24"/>
                      <w:szCs w:val="24"/>
                    </w:rPr>
                    <w:t>56（套）</w:t>
                  </w:r>
                </w:p>
              </w:tc>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5EB9D9E3">
                  <w:pPr>
                    <w:widowControl/>
                    <w:jc w:val="left"/>
                    <w:rPr>
                      <w:rFonts w:ascii="宋体" w:hAnsi="宋体" w:eastAsia="宋体" w:cs="宋体"/>
                      <w:kern w:val="0"/>
                      <w:sz w:val="24"/>
                      <w:szCs w:val="24"/>
                    </w:rPr>
                  </w:pPr>
                  <w:r>
                    <w:rPr>
                      <w:rFonts w:ascii="宋体" w:hAnsi="宋体" w:eastAsia="宋体" w:cs="宋体"/>
                      <w:kern w:val="0"/>
                      <w:sz w:val="24"/>
                      <w:szCs w:val="24"/>
                    </w:rPr>
                    <w:t>9,520,000.0000</w:t>
                  </w:r>
                </w:p>
              </w:tc>
            </w:tr>
            <w:tr w14:paraId="7AA3449F">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rPr>
                <w:jc w:val="center"/>
              </w:trPr>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3FDBD93D">
                  <w:pPr>
                    <w:widowControl/>
                    <w:jc w:val="left"/>
                    <w:rPr>
                      <w:rFonts w:ascii="宋体" w:hAnsi="宋体" w:eastAsia="宋体" w:cs="宋体"/>
                      <w:kern w:val="0"/>
                      <w:sz w:val="24"/>
                      <w:szCs w:val="24"/>
                    </w:rPr>
                  </w:pPr>
                  <w:r>
                    <w:rPr>
                      <w:rFonts w:ascii="宋体" w:hAnsi="宋体" w:eastAsia="宋体" w:cs="宋体"/>
                      <w:kern w:val="0"/>
                      <w:sz w:val="24"/>
                      <w:szCs w:val="24"/>
                    </w:rPr>
                    <w:t>1-8</w:t>
                  </w:r>
                </w:p>
              </w:tc>
              <w:tc>
                <w:tcPr>
                  <w:tcW w:w="150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2CADB4B7">
                  <w:pPr>
                    <w:widowControl/>
                    <w:jc w:val="left"/>
                    <w:rPr>
                      <w:rFonts w:ascii="宋体" w:hAnsi="宋体" w:eastAsia="宋体" w:cs="宋体"/>
                      <w:kern w:val="0"/>
                      <w:sz w:val="24"/>
                      <w:szCs w:val="24"/>
                    </w:rPr>
                  </w:pPr>
                  <w:r>
                    <w:rPr>
                      <w:rFonts w:ascii="宋体" w:hAnsi="宋体" w:eastAsia="宋体" w:cs="宋体"/>
                      <w:kern w:val="0"/>
                      <w:sz w:val="24"/>
                      <w:szCs w:val="24"/>
                    </w:rPr>
                    <w:t>云平台业务存储节点</w:t>
                  </w:r>
                </w:p>
              </w:tc>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5194CFB0">
                  <w:pPr>
                    <w:widowControl/>
                    <w:jc w:val="left"/>
                    <w:rPr>
                      <w:rFonts w:ascii="宋体" w:hAnsi="宋体" w:eastAsia="宋体" w:cs="宋体"/>
                      <w:kern w:val="0"/>
                      <w:sz w:val="24"/>
                      <w:szCs w:val="24"/>
                    </w:rPr>
                  </w:pPr>
                  <w:r>
                    <w:rPr>
                      <w:rFonts w:ascii="宋体" w:hAnsi="宋体" w:eastAsia="宋体" w:cs="宋体"/>
                      <w:kern w:val="0"/>
                      <w:sz w:val="24"/>
                      <w:szCs w:val="24"/>
                    </w:rPr>
                    <w:t>否</w:t>
                  </w:r>
                </w:p>
              </w:tc>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5CCA15F0">
                  <w:pPr>
                    <w:widowControl/>
                    <w:jc w:val="left"/>
                    <w:rPr>
                      <w:rFonts w:ascii="宋体" w:hAnsi="宋体" w:eastAsia="宋体" w:cs="宋体"/>
                      <w:kern w:val="0"/>
                      <w:sz w:val="24"/>
                      <w:szCs w:val="24"/>
                    </w:rPr>
                  </w:pPr>
                  <w:r>
                    <w:rPr>
                      <w:rFonts w:ascii="宋体" w:hAnsi="宋体" w:eastAsia="宋体" w:cs="宋体"/>
                      <w:kern w:val="0"/>
                      <w:sz w:val="24"/>
                      <w:szCs w:val="24"/>
                    </w:rPr>
                    <w:t>6（套）</w:t>
                  </w:r>
                </w:p>
              </w:tc>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7257BC7F">
                  <w:pPr>
                    <w:widowControl/>
                    <w:jc w:val="left"/>
                    <w:rPr>
                      <w:rFonts w:ascii="宋体" w:hAnsi="宋体" w:eastAsia="宋体" w:cs="宋体"/>
                      <w:kern w:val="0"/>
                      <w:sz w:val="24"/>
                      <w:szCs w:val="24"/>
                    </w:rPr>
                  </w:pPr>
                  <w:r>
                    <w:rPr>
                      <w:rFonts w:ascii="宋体" w:hAnsi="宋体" w:eastAsia="宋体" w:cs="宋体"/>
                      <w:kern w:val="0"/>
                      <w:sz w:val="24"/>
                      <w:szCs w:val="24"/>
                    </w:rPr>
                    <w:t>1,800,000.0000</w:t>
                  </w:r>
                </w:p>
              </w:tc>
            </w:tr>
            <w:tr w14:paraId="7E9FA586">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rPr>
                <w:jc w:val="center"/>
              </w:trPr>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321D8797">
                  <w:pPr>
                    <w:widowControl/>
                    <w:jc w:val="left"/>
                    <w:rPr>
                      <w:rFonts w:ascii="宋体" w:hAnsi="宋体" w:eastAsia="宋体" w:cs="宋体"/>
                      <w:kern w:val="0"/>
                      <w:sz w:val="24"/>
                      <w:szCs w:val="24"/>
                    </w:rPr>
                  </w:pPr>
                  <w:r>
                    <w:rPr>
                      <w:rFonts w:ascii="宋体" w:hAnsi="宋体" w:eastAsia="宋体" w:cs="宋体"/>
                      <w:kern w:val="0"/>
                      <w:sz w:val="24"/>
                      <w:szCs w:val="24"/>
                    </w:rPr>
                    <w:t>1-9</w:t>
                  </w:r>
                </w:p>
              </w:tc>
              <w:tc>
                <w:tcPr>
                  <w:tcW w:w="150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30B08291">
                  <w:pPr>
                    <w:widowControl/>
                    <w:jc w:val="left"/>
                    <w:rPr>
                      <w:rFonts w:ascii="宋体" w:hAnsi="宋体" w:eastAsia="宋体" w:cs="宋体"/>
                      <w:kern w:val="0"/>
                      <w:sz w:val="24"/>
                      <w:szCs w:val="24"/>
                    </w:rPr>
                  </w:pPr>
                  <w:r>
                    <w:rPr>
                      <w:rFonts w:ascii="宋体" w:hAnsi="宋体" w:eastAsia="宋体" w:cs="宋体"/>
                      <w:kern w:val="0"/>
                      <w:sz w:val="24"/>
                      <w:szCs w:val="24"/>
                    </w:rPr>
                    <w:t>分布式关系型数据库授权（数据中心A）</w:t>
                  </w:r>
                </w:p>
              </w:tc>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04B55ED4">
                  <w:pPr>
                    <w:widowControl/>
                    <w:jc w:val="left"/>
                    <w:rPr>
                      <w:rFonts w:ascii="宋体" w:hAnsi="宋体" w:eastAsia="宋体" w:cs="宋体"/>
                      <w:kern w:val="0"/>
                      <w:sz w:val="24"/>
                      <w:szCs w:val="24"/>
                    </w:rPr>
                  </w:pPr>
                  <w:r>
                    <w:rPr>
                      <w:rFonts w:ascii="宋体" w:hAnsi="宋体" w:eastAsia="宋体" w:cs="宋体"/>
                      <w:kern w:val="0"/>
                      <w:sz w:val="24"/>
                      <w:szCs w:val="24"/>
                    </w:rPr>
                    <w:t>否</w:t>
                  </w:r>
                </w:p>
              </w:tc>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687686B9">
                  <w:pPr>
                    <w:widowControl/>
                    <w:jc w:val="left"/>
                    <w:rPr>
                      <w:rFonts w:ascii="宋体" w:hAnsi="宋体" w:eastAsia="宋体" w:cs="宋体"/>
                      <w:kern w:val="0"/>
                      <w:sz w:val="24"/>
                      <w:szCs w:val="24"/>
                    </w:rPr>
                  </w:pPr>
                  <w:r>
                    <w:rPr>
                      <w:rFonts w:ascii="宋体" w:hAnsi="宋体" w:eastAsia="宋体" w:cs="宋体"/>
                      <w:kern w:val="0"/>
                      <w:sz w:val="24"/>
                      <w:szCs w:val="24"/>
                    </w:rPr>
                    <w:t>1（批）</w:t>
                  </w:r>
                </w:p>
              </w:tc>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60C1CC5A">
                  <w:pPr>
                    <w:widowControl/>
                    <w:jc w:val="left"/>
                    <w:rPr>
                      <w:rFonts w:ascii="宋体" w:hAnsi="宋体" w:eastAsia="宋体" w:cs="宋体"/>
                      <w:kern w:val="0"/>
                      <w:sz w:val="24"/>
                      <w:szCs w:val="24"/>
                    </w:rPr>
                  </w:pPr>
                  <w:r>
                    <w:rPr>
                      <w:rFonts w:ascii="宋体" w:hAnsi="宋体" w:eastAsia="宋体" w:cs="宋体"/>
                      <w:kern w:val="0"/>
                      <w:sz w:val="24"/>
                      <w:szCs w:val="24"/>
                    </w:rPr>
                    <w:t>2,850,000.0000</w:t>
                  </w:r>
                </w:p>
              </w:tc>
            </w:tr>
            <w:tr w14:paraId="03B68592">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rPr>
                <w:jc w:val="center"/>
              </w:trPr>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02A2E991">
                  <w:pPr>
                    <w:widowControl/>
                    <w:jc w:val="left"/>
                    <w:rPr>
                      <w:rFonts w:ascii="宋体" w:hAnsi="宋体" w:eastAsia="宋体" w:cs="宋体"/>
                      <w:kern w:val="0"/>
                      <w:sz w:val="24"/>
                      <w:szCs w:val="24"/>
                    </w:rPr>
                  </w:pPr>
                  <w:r>
                    <w:rPr>
                      <w:rFonts w:ascii="宋体" w:hAnsi="宋体" w:eastAsia="宋体" w:cs="宋体"/>
                      <w:kern w:val="0"/>
                      <w:sz w:val="24"/>
                      <w:szCs w:val="24"/>
                    </w:rPr>
                    <w:t>1-10</w:t>
                  </w:r>
                </w:p>
              </w:tc>
              <w:tc>
                <w:tcPr>
                  <w:tcW w:w="150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6736D1FC">
                  <w:pPr>
                    <w:widowControl/>
                    <w:jc w:val="left"/>
                    <w:rPr>
                      <w:rFonts w:ascii="宋体" w:hAnsi="宋体" w:eastAsia="宋体" w:cs="宋体"/>
                      <w:kern w:val="0"/>
                      <w:sz w:val="24"/>
                      <w:szCs w:val="24"/>
                    </w:rPr>
                  </w:pPr>
                  <w:r>
                    <w:rPr>
                      <w:rFonts w:ascii="宋体" w:hAnsi="宋体" w:eastAsia="宋体" w:cs="宋体"/>
                      <w:kern w:val="0"/>
                      <w:sz w:val="24"/>
                      <w:szCs w:val="24"/>
                    </w:rPr>
                    <w:t>分布式对象存储授权（数据中心A）</w:t>
                  </w:r>
                </w:p>
              </w:tc>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5A82F76A">
                  <w:pPr>
                    <w:widowControl/>
                    <w:jc w:val="left"/>
                    <w:rPr>
                      <w:rFonts w:ascii="宋体" w:hAnsi="宋体" w:eastAsia="宋体" w:cs="宋体"/>
                      <w:kern w:val="0"/>
                      <w:sz w:val="24"/>
                      <w:szCs w:val="24"/>
                    </w:rPr>
                  </w:pPr>
                  <w:r>
                    <w:rPr>
                      <w:rFonts w:ascii="宋体" w:hAnsi="宋体" w:eastAsia="宋体" w:cs="宋体"/>
                      <w:kern w:val="0"/>
                      <w:sz w:val="24"/>
                      <w:szCs w:val="24"/>
                    </w:rPr>
                    <w:t>否</w:t>
                  </w:r>
                </w:p>
              </w:tc>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28D2A8DD">
                  <w:pPr>
                    <w:widowControl/>
                    <w:jc w:val="left"/>
                    <w:rPr>
                      <w:rFonts w:ascii="宋体" w:hAnsi="宋体" w:eastAsia="宋体" w:cs="宋体"/>
                      <w:kern w:val="0"/>
                      <w:sz w:val="24"/>
                      <w:szCs w:val="24"/>
                    </w:rPr>
                  </w:pPr>
                  <w:r>
                    <w:rPr>
                      <w:rFonts w:ascii="宋体" w:hAnsi="宋体" w:eastAsia="宋体" w:cs="宋体"/>
                      <w:kern w:val="0"/>
                      <w:sz w:val="24"/>
                      <w:szCs w:val="24"/>
                    </w:rPr>
                    <w:t>1（批）</w:t>
                  </w:r>
                </w:p>
              </w:tc>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4888734F">
                  <w:pPr>
                    <w:widowControl/>
                    <w:jc w:val="left"/>
                    <w:rPr>
                      <w:rFonts w:ascii="宋体" w:hAnsi="宋体" w:eastAsia="宋体" w:cs="宋体"/>
                      <w:kern w:val="0"/>
                      <w:sz w:val="24"/>
                      <w:szCs w:val="24"/>
                    </w:rPr>
                  </w:pPr>
                  <w:r>
                    <w:rPr>
                      <w:rFonts w:ascii="宋体" w:hAnsi="宋体" w:eastAsia="宋体" w:cs="宋体"/>
                      <w:kern w:val="0"/>
                      <w:sz w:val="24"/>
                      <w:szCs w:val="24"/>
                    </w:rPr>
                    <w:t>200,000.0000</w:t>
                  </w:r>
                </w:p>
              </w:tc>
            </w:tr>
            <w:tr w14:paraId="22195013">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rPr>
                <w:jc w:val="center"/>
              </w:trPr>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4B130B59">
                  <w:pPr>
                    <w:widowControl/>
                    <w:jc w:val="left"/>
                    <w:rPr>
                      <w:rFonts w:ascii="宋体" w:hAnsi="宋体" w:eastAsia="宋体" w:cs="宋体"/>
                      <w:kern w:val="0"/>
                      <w:sz w:val="24"/>
                      <w:szCs w:val="24"/>
                    </w:rPr>
                  </w:pPr>
                  <w:r>
                    <w:rPr>
                      <w:rFonts w:ascii="宋体" w:hAnsi="宋体" w:eastAsia="宋体" w:cs="宋体"/>
                      <w:kern w:val="0"/>
                      <w:sz w:val="24"/>
                      <w:szCs w:val="24"/>
                    </w:rPr>
                    <w:t>1-11</w:t>
                  </w:r>
                </w:p>
              </w:tc>
              <w:tc>
                <w:tcPr>
                  <w:tcW w:w="150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13C323E2">
                  <w:pPr>
                    <w:widowControl/>
                    <w:jc w:val="left"/>
                    <w:rPr>
                      <w:rFonts w:ascii="宋体" w:hAnsi="宋体" w:eastAsia="宋体" w:cs="宋体"/>
                      <w:kern w:val="0"/>
                      <w:sz w:val="24"/>
                      <w:szCs w:val="24"/>
                    </w:rPr>
                  </w:pPr>
                  <w:r>
                    <w:rPr>
                      <w:rFonts w:ascii="宋体" w:hAnsi="宋体" w:eastAsia="宋体" w:cs="宋体"/>
                      <w:kern w:val="0"/>
                      <w:sz w:val="24"/>
                      <w:szCs w:val="24"/>
                    </w:rPr>
                    <w:t>分布式关系型数据库授权（数据中心B）</w:t>
                  </w:r>
                </w:p>
              </w:tc>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2769EACA">
                  <w:pPr>
                    <w:widowControl/>
                    <w:jc w:val="left"/>
                    <w:rPr>
                      <w:rFonts w:ascii="宋体" w:hAnsi="宋体" w:eastAsia="宋体" w:cs="宋体"/>
                      <w:kern w:val="0"/>
                      <w:sz w:val="24"/>
                      <w:szCs w:val="24"/>
                    </w:rPr>
                  </w:pPr>
                  <w:r>
                    <w:rPr>
                      <w:rFonts w:ascii="宋体" w:hAnsi="宋体" w:eastAsia="宋体" w:cs="宋体"/>
                      <w:kern w:val="0"/>
                      <w:sz w:val="24"/>
                      <w:szCs w:val="24"/>
                    </w:rPr>
                    <w:t>否</w:t>
                  </w:r>
                </w:p>
              </w:tc>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3426B2AC">
                  <w:pPr>
                    <w:widowControl/>
                    <w:jc w:val="left"/>
                    <w:rPr>
                      <w:rFonts w:ascii="宋体" w:hAnsi="宋体" w:eastAsia="宋体" w:cs="宋体"/>
                      <w:kern w:val="0"/>
                      <w:sz w:val="24"/>
                      <w:szCs w:val="24"/>
                    </w:rPr>
                  </w:pPr>
                  <w:r>
                    <w:rPr>
                      <w:rFonts w:ascii="宋体" w:hAnsi="宋体" w:eastAsia="宋体" w:cs="宋体"/>
                      <w:kern w:val="0"/>
                      <w:sz w:val="24"/>
                      <w:szCs w:val="24"/>
                    </w:rPr>
                    <w:t>1（批）</w:t>
                  </w:r>
                </w:p>
              </w:tc>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16B11E07">
                  <w:pPr>
                    <w:widowControl/>
                    <w:jc w:val="left"/>
                    <w:rPr>
                      <w:rFonts w:ascii="宋体" w:hAnsi="宋体" w:eastAsia="宋体" w:cs="宋体"/>
                      <w:kern w:val="0"/>
                      <w:sz w:val="24"/>
                      <w:szCs w:val="24"/>
                    </w:rPr>
                  </w:pPr>
                  <w:r>
                    <w:rPr>
                      <w:rFonts w:ascii="宋体" w:hAnsi="宋体" w:eastAsia="宋体" w:cs="宋体"/>
                      <w:kern w:val="0"/>
                      <w:sz w:val="24"/>
                      <w:szCs w:val="24"/>
                    </w:rPr>
                    <w:t>1,350,000.0000</w:t>
                  </w:r>
                </w:p>
              </w:tc>
            </w:tr>
            <w:tr w14:paraId="22634CC2">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rPr>
                <w:jc w:val="center"/>
              </w:trPr>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0681677E">
                  <w:pPr>
                    <w:widowControl/>
                    <w:jc w:val="left"/>
                    <w:rPr>
                      <w:rFonts w:ascii="宋体" w:hAnsi="宋体" w:eastAsia="宋体" w:cs="宋体"/>
                      <w:kern w:val="0"/>
                      <w:sz w:val="24"/>
                      <w:szCs w:val="24"/>
                    </w:rPr>
                  </w:pPr>
                  <w:r>
                    <w:rPr>
                      <w:rFonts w:ascii="宋体" w:hAnsi="宋体" w:eastAsia="宋体" w:cs="宋体"/>
                      <w:kern w:val="0"/>
                      <w:sz w:val="24"/>
                      <w:szCs w:val="24"/>
                    </w:rPr>
                    <w:t>1-12</w:t>
                  </w:r>
                </w:p>
              </w:tc>
              <w:tc>
                <w:tcPr>
                  <w:tcW w:w="150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307B4B30">
                  <w:pPr>
                    <w:widowControl/>
                    <w:jc w:val="left"/>
                    <w:rPr>
                      <w:rFonts w:ascii="宋体" w:hAnsi="宋体" w:eastAsia="宋体" w:cs="宋体"/>
                      <w:kern w:val="0"/>
                      <w:sz w:val="24"/>
                      <w:szCs w:val="24"/>
                    </w:rPr>
                  </w:pPr>
                  <w:r>
                    <w:rPr>
                      <w:rFonts w:ascii="宋体" w:hAnsi="宋体" w:eastAsia="宋体" w:cs="宋体"/>
                      <w:kern w:val="0"/>
                      <w:sz w:val="24"/>
                      <w:szCs w:val="24"/>
                    </w:rPr>
                    <w:t>分布式文件存储授权（数据中心B）</w:t>
                  </w:r>
                </w:p>
              </w:tc>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15C5DD50">
                  <w:pPr>
                    <w:widowControl/>
                    <w:jc w:val="left"/>
                    <w:rPr>
                      <w:rFonts w:ascii="宋体" w:hAnsi="宋体" w:eastAsia="宋体" w:cs="宋体"/>
                      <w:kern w:val="0"/>
                      <w:sz w:val="24"/>
                      <w:szCs w:val="24"/>
                    </w:rPr>
                  </w:pPr>
                  <w:r>
                    <w:rPr>
                      <w:rFonts w:ascii="宋体" w:hAnsi="宋体" w:eastAsia="宋体" w:cs="宋体"/>
                      <w:kern w:val="0"/>
                      <w:sz w:val="24"/>
                      <w:szCs w:val="24"/>
                    </w:rPr>
                    <w:t>否</w:t>
                  </w:r>
                </w:p>
              </w:tc>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0AD2D3CC">
                  <w:pPr>
                    <w:widowControl/>
                    <w:jc w:val="left"/>
                    <w:rPr>
                      <w:rFonts w:ascii="宋体" w:hAnsi="宋体" w:eastAsia="宋体" w:cs="宋体"/>
                      <w:kern w:val="0"/>
                      <w:sz w:val="24"/>
                      <w:szCs w:val="24"/>
                    </w:rPr>
                  </w:pPr>
                  <w:r>
                    <w:rPr>
                      <w:rFonts w:ascii="宋体" w:hAnsi="宋体" w:eastAsia="宋体" w:cs="宋体"/>
                      <w:kern w:val="0"/>
                      <w:sz w:val="24"/>
                      <w:szCs w:val="24"/>
                    </w:rPr>
                    <w:t>1（批）</w:t>
                  </w:r>
                </w:p>
              </w:tc>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7E1122D5">
                  <w:pPr>
                    <w:widowControl/>
                    <w:jc w:val="left"/>
                    <w:rPr>
                      <w:rFonts w:ascii="宋体" w:hAnsi="宋体" w:eastAsia="宋体" w:cs="宋体"/>
                      <w:kern w:val="0"/>
                      <w:sz w:val="24"/>
                      <w:szCs w:val="24"/>
                    </w:rPr>
                  </w:pPr>
                  <w:r>
                    <w:rPr>
                      <w:rFonts w:ascii="宋体" w:hAnsi="宋体" w:eastAsia="宋体" w:cs="宋体"/>
                      <w:kern w:val="0"/>
                      <w:sz w:val="24"/>
                      <w:szCs w:val="24"/>
                    </w:rPr>
                    <w:t>150,000.0000</w:t>
                  </w:r>
                </w:p>
              </w:tc>
            </w:tr>
            <w:tr w14:paraId="3213679F">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rPr>
                <w:jc w:val="center"/>
              </w:trPr>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3A36AA81">
                  <w:pPr>
                    <w:widowControl/>
                    <w:jc w:val="left"/>
                    <w:rPr>
                      <w:rFonts w:ascii="宋体" w:hAnsi="宋体" w:eastAsia="宋体" w:cs="宋体"/>
                      <w:kern w:val="0"/>
                      <w:sz w:val="24"/>
                      <w:szCs w:val="24"/>
                    </w:rPr>
                  </w:pPr>
                  <w:r>
                    <w:rPr>
                      <w:rFonts w:ascii="宋体" w:hAnsi="宋体" w:eastAsia="宋体" w:cs="宋体"/>
                      <w:kern w:val="0"/>
                      <w:sz w:val="24"/>
                      <w:szCs w:val="24"/>
                    </w:rPr>
                    <w:t>1-13</w:t>
                  </w:r>
                </w:p>
              </w:tc>
              <w:tc>
                <w:tcPr>
                  <w:tcW w:w="150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58D672C4">
                  <w:pPr>
                    <w:widowControl/>
                    <w:jc w:val="left"/>
                    <w:rPr>
                      <w:rFonts w:ascii="宋体" w:hAnsi="宋体" w:eastAsia="宋体" w:cs="宋体"/>
                      <w:kern w:val="0"/>
                      <w:sz w:val="24"/>
                      <w:szCs w:val="24"/>
                    </w:rPr>
                  </w:pPr>
                  <w:r>
                    <w:rPr>
                      <w:rFonts w:ascii="宋体" w:hAnsi="宋体" w:eastAsia="宋体" w:cs="宋体"/>
                      <w:kern w:val="0"/>
                      <w:sz w:val="24"/>
                      <w:szCs w:val="24"/>
                    </w:rPr>
                    <w:t>分布式对象存储授权（数据中心B）</w:t>
                  </w:r>
                </w:p>
              </w:tc>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4A8C5D61">
                  <w:pPr>
                    <w:widowControl/>
                    <w:jc w:val="left"/>
                    <w:rPr>
                      <w:rFonts w:ascii="宋体" w:hAnsi="宋体" w:eastAsia="宋体" w:cs="宋体"/>
                      <w:kern w:val="0"/>
                      <w:sz w:val="24"/>
                      <w:szCs w:val="24"/>
                    </w:rPr>
                  </w:pPr>
                  <w:r>
                    <w:rPr>
                      <w:rFonts w:ascii="宋体" w:hAnsi="宋体" w:eastAsia="宋体" w:cs="宋体"/>
                      <w:kern w:val="0"/>
                      <w:sz w:val="24"/>
                      <w:szCs w:val="24"/>
                    </w:rPr>
                    <w:t>否</w:t>
                  </w:r>
                </w:p>
              </w:tc>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59AEBCBE">
                  <w:pPr>
                    <w:widowControl/>
                    <w:jc w:val="left"/>
                    <w:rPr>
                      <w:rFonts w:ascii="宋体" w:hAnsi="宋体" w:eastAsia="宋体" w:cs="宋体"/>
                      <w:kern w:val="0"/>
                      <w:sz w:val="24"/>
                      <w:szCs w:val="24"/>
                    </w:rPr>
                  </w:pPr>
                  <w:r>
                    <w:rPr>
                      <w:rFonts w:ascii="宋体" w:hAnsi="宋体" w:eastAsia="宋体" w:cs="宋体"/>
                      <w:kern w:val="0"/>
                      <w:sz w:val="24"/>
                      <w:szCs w:val="24"/>
                    </w:rPr>
                    <w:t>1（批）</w:t>
                  </w:r>
                </w:p>
              </w:tc>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7143D3DB">
                  <w:pPr>
                    <w:widowControl/>
                    <w:jc w:val="left"/>
                    <w:rPr>
                      <w:rFonts w:ascii="宋体" w:hAnsi="宋体" w:eastAsia="宋体" w:cs="宋体"/>
                      <w:kern w:val="0"/>
                      <w:sz w:val="24"/>
                      <w:szCs w:val="24"/>
                    </w:rPr>
                  </w:pPr>
                  <w:r>
                    <w:rPr>
                      <w:rFonts w:ascii="宋体" w:hAnsi="宋体" w:eastAsia="宋体" w:cs="宋体"/>
                      <w:kern w:val="0"/>
                      <w:sz w:val="24"/>
                      <w:szCs w:val="24"/>
                    </w:rPr>
                    <w:t>200,000.0000</w:t>
                  </w:r>
                </w:p>
              </w:tc>
            </w:tr>
            <w:tr w14:paraId="0A9A3D95">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rPr>
                <w:jc w:val="center"/>
              </w:trPr>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45C8D4A9">
                  <w:pPr>
                    <w:widowControl/>
                    <w:jc w:val="left"/>
                    <w:rPr>
                      <w:rFonts w:ascii="宋体" w:hAnsi="宋体" w:eastAsia="宋体" w:cs="宋体"/>
                      <w:kern w:val="0"/>
                      <w:sz w:val="24"/>
                      <w:szCs w:val="24"/>
                    </w:rPr>
                  </w:pPr>
                  <w:r>
                    <w:rPr>
                      <w:rFonts w:ascii="宋体" w:hAnsi="宋体" w:eastAsia="宋体" w:cs="宋体"/>
                      <w:kern w:val="0"/>
                      <w:sz w:val="24"/>
                      <w:szCs w:val="24"/>
                    </w:rPr>
                    <w:t>1-14</w:t>
                  </w:r>
                </w:p>
              </w:tc>
              <w:tc>
                <w:tcPr>
                  <w:tcW w:w="150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1B341375">
                  <w:pPr>
                    <w:widowControl/>
                    <w:jc w:val="left"/>
                    <w:rPr>
                      <w:rFonts w:ascii="宋体" w:hAnsi="宋体" w:eastAsia="宋体" w:cs="宋体"/>
                      <w:kern w:val="0"/>
                      <w:sz w:val="24"/>
                      <w:szCs w:val="24"/>
                    </w:rPr>
                  </w:pPr>
                  <w:r>
                    <w:rPr>
                      <w:rFonts w:ascii="宋体" w:hAnsi="宋体" w:eastAsia="宋体" w:cs="宋体"/>
                      <w:kern w:val="0"/>
                      <w:sz w:val="24"/>
                      <w:szCs w:val="24"/>
                    </w:rPr>
                    <w:t>分布式文件存储授权（数据中心A）</w:t>
                  </w:r>
                </w:p>
              </w:tc>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35BF4465">
                  <w:pPr>
                    <w:widowControl/>
                    <w:jc w:val="left"/>
                    <w:rPr>
                      <w:rFonts w:ascii="宋体" w:hAnsi="宋体" w:eastAsia="宋体" w:cs="宋体"/>
                      <w:kern w:val="0"/>
                      <w:sz w:val="24"/>
                      <w:szCs w:val="24"/>
                    </w:rPr>
                  </w:pPr>
                  <w:r>
                    <w:rPr>
                      <w:rFonts w:ascii="宋体" w:hAnsi="宋体" w:eastAsia="宋体" w:cs="宋体"/>
                      <w:kern w:val="0"/>
                      <w:sz w:val="24"/>
                      <w:szCs w:val="24"/>
                    </w:rPr>
                    <w:t>否</w:t>
                  </w:r>
                </w:p>
              </w:tc>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334C065B">
                  <w:pPr>
                    <w:widowControl/>
                    <w:jc w:val="left"/>
                    <w:rPr>
                      <w:rFonts w:ascii="宋体" w:hAnsi="宋体" w:eastAsia="宋体" w:cs="宋体"/>
                      <w:kern w:val="0"/>
                      <w:sz w:val="24"/>
                      <w:szCs w:val="24"/>
                    </w:rPr>
                  </w:pPr>
                  <w:r>
                    <w:rPr>
                      <w:rFonts w:ascii="宋体" w:hAnsi="宋体" w:eastAsia="宋体" w:cs="宋体"/>
                      <w:kern w:val="0"/>
                      <w:sz w:val="24"/>
                      <w:szCs w:val="24"/>
                    </w:rPr>
                    <w:t>1（批）</w:t>
                  </w:r>
                </w:p>
              </w:tc>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50DFBB12">
                  <w:pPr>
                    <w:widowControl/>
                    <w:jc w:val="left"/>
                    <w:rPr>
                      <w:rFonts w:ascii="宋体" w:hAnsi="宋体" w:eastAsia="宋体" w:cs="宋体"/>
                      <w:kern w:val="0"/>
                      <w:sz w:val="24"/>
                      <w:szCs w:val="24"/>
                    </w:rPr>
                  </w:pPr>
                  <w:r>
                    <w:rPr>
                      <w:rFonts w:ascii="宋体" w:hAnsi="宋体" w:eastAsia="宋体" w:cs="宋体"/>
                      <w:kern w:val="0"/>
                      <w:sz w:val="24"/>
                      <w:szCs w:val="24"/>
                    </w:rPr>
                    <w:t>150,000.0000</w:t>
                  </w:r>
                </w:p>
              </w:tc>
            </w:tr>
            <w:tr w14:paraId="7CBDAA06">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rPr>
                <w:jc w:val="center"/>
              </w:trPr>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1E689503">
                  <w:pPr>
                    <w:widowControl/>
                    <w:jc w:val="left"/>
                    <w:rPr>
                      <w:rFonts w:ascii="宋体" w:hAnsi="宋体" w:eastAsia="宋体" w:cs="宋体"/>
                      <w:kern w:val="0"/>
                      <w:sz w:val="24"/>
                      <w:szCs w:val="24"/>
                    </w:rPr>
                  </w:pPr>
                  <w:r>
                    <w:rPr>
                      <w:rFonts w:ascii="宋体" w:hAnsi="宋体" w:eastAsia="宋体" w:cs="宋体"/>
                      <w:kern w:val="0"/>
                      <w:sz w:val="24"/>
                      <w:szCs w:val="24"/>
                    </w:rPr>
                    <w:t>1-15</w:t>
                  </w:r>
                </w:p>
              </w:tc>
              <w:tc>
                <w:tcPr>
                  <w:tcW w:w="150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62C23312">
                  <w:pPr>
                    <w:widowControl/>
                    <w:jc w:val="left"/>
                    <w:rPr>
                      <w:rFonts w:ascii="宋体" w:hAnsi="宋体" w:eastAsia="宋体" w:cs="宋体"/>
                      <w:kern w:val="0"/>
                      <w:sz w:val="24"/>
                      <w:szCs w:val="24"/>
                    </w:rPr>
                  </w:pPr>
                  <w:r>
                    <w:rPr>
                      <w:rFonts w:ascii="宋体" w:hAnsi="宋体" w:eastAsia="宋体" w:cs="宋体"/>
                      <w:kern w:val="0"/>
                      <w:sz w:val="24"/>
                      <w:szCs w:val="24"/>
                    </w:rPr>
                    <w:t>虚拟机操作系统</w:t>
                  </w:r>
                </w:p>
              </w:tc>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435AB5FF">
                  <w:pPr>
                    <w:widowControl/>
                    <w:jc w:val="left"/>
                    <w:rPr>
                      <w:rFonts w:ascii="宋体" w:hAnsi="宋体" w:eastAsia="宋体" w:cs="宋体"/>
                      <w:kern w:val="0"/>
                      <w:sz w:val="24"/>
                      <w:szCs w:val="24"/>
                    </w:rPr>
                  </w:pPr>
                  <w:r>
                    <w:rPr>
                      <w:rFonts w:ascii="宋体" w:hAnsi="宋体" w:eastAsia="宋体" w:cs="宋体"/>
                      <w:kern w:val="0"/>
                      <w:sz w:val="24"/>
                      <w:szCs w:val="24"/>
                    </w:rPr>
                    <w:t>否</w:t>
                  </w:r>
                </w:p>
              </w:tc>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449C9324">
                  <w:pPr>
                    <w:widowControl/>
                    <w:jc w:val="left"/>
                    <w:rPr>
                      <w:rFonts w:ascii="宋体" w:hAnsi="宋体" w:eastAsia="宋体" w:cs="宋体"/>
                      <w:kern w:val="0"/>
                      <w:sz w:val="24"/>
                      <w:szCs w:val="24"/>
                    </w:rPr>
                  </w:pPr>
                  <w:r>
                    <w:rPr>
                      <w:rFonts w:ascii="宋体" w:hAnsi="宋体" w:eastAsia="宋体" w:cs="宋体"/>
                      <w:kern w:val="0"/>
                      <w:sz w:val="24"/>
                      <w:szCs w:val="24"/>
                    </w:rPr>
                    <w:t>300（套）</w:t>
                  </w:r>
                </w:p>
              </w:tc>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1BCFF3BE">
                  <w:pPr>
                    <w:widowControl/>
                    <w:jc w:val="left"/>
                    <w:rPr>
                      <w:rFonts w:ascii="宋体" w:hAnsi="宋体" w:eastAsia="宋体" w:cs="宋体"/>
                      <w:kern w:val="0"/>
                      <w:sz w:val="24"/>
                      <w:szCs w:val="24"/>
                    </w:rPr>
                  </w:pPr>
                  <w:r>
                    <w:rPr>
                      <w:rFonts w:ascii="宋体" w:hAnsi="宋体" w:eastAsia="宋体" w:cs="宋体"/>
                      <w:kern w:val="0"/>
                      <w:sz w:val="24"/>
                      <w:szCs w:val="24"/>
                    </w:rPr>
                    <w:t>1,500,000.0000</w:t>
                  </w:r>
                </w:p>
              </w:tc>
            </w:tr>
            <w:tr w14:paraId="47A44CC3">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rPr>
                <w:jc w:val="center"/>
              </w:trPr>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544EDB62">
                  <w:pPr>
                    <w:widowControl/>
                    <w:jc w:val="left"/>
                    <w:rPr>
                      <w:rFonts w:ascii="宋体" w:hAnsi="宋体" w:eastAsia="宋体" w:cs="宋体"/>
                      <w:kern w:val="0"/>
                      <w:sz w:val="24"/>
                      <w:szCs w:val="24"/>
                    </w:rPr>
                  </w:pPr>
                  <w:r>
                    <w:rPr>
                      <w:rFonts w:ascii="宋体" w:hAnsi="宋体" w:eastAsia="宋体" w:cs="宋体"/>
                      <w:kern w:val="0"/>
                      <w:sz w:val="24"/>
                      <w:szCs w:val="24"/>
                    </w:rPr>
                    <w:t>1-16</w:t>
                  </w:r>
                </w:p>
              </w:tc>
              <w:tc>
                <w:tcPr>
                  <w:tcW w:w="150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6C61E722">
                  <w:pPr>
                    <w:widowControl/>
                    <w:jc w:val="left"/>
                    <w:rPr>
                      <w:rFonts w:ascii="宋体" w:hAnsi="宋体" w:eastAsia="宋体" w:cs="宋体"/>
                      <w:kern w:val="0"/>
                      <w:sz w:val="24"/>
                      <w:szCs w:val="24"/>
                    </w:rPr>
                  </w:pPr>
                  <w:r>
                    <w:rPr>
                      <w:rFonts w:ascii="宋体" w:hAnsi="宋体" w:eastAsia="宋体" w:cs="宋体"/>
                      <w:kern w:val="0"/>
                      <w:sz w:val="24"/>
                      <w:szCs w:val="24"/>
                    </w:rPr>
                    <w:t>集群硬盘增补</w:t>
                  </w:r>
                </w:p>
              </w:tc>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6AD7F0B6">
                  <w:pPr>
                    <w:widowControl/>
                    <w:jc w:val="left"/>
                    <w:rPr>
                      <w:rFonts w:ascii="宋体" w:hAnsi="宋体" w:eastAsia="宋体" w:cs="宋体"/>
                      <w:kern w:val="0"/>
                      <w:sz w:val="24"/>
                      <w:szCs w:val="24"/>
                    </w:rPr>
                  </w:pPr>
                  <w:r>
                    <w:rPr>
                      <w:rFonts w:ascii="宋体" w:hAnsi="宋体" w:eastAsia="宋体" w:cs="宋体"/>
                      <w:kern w:val="0"/>
                      <w:sz w:val="24"/>
                      <w:szCs w:val="24"/>
                    </w:rPr>
                    <w:t>否</w:t>
                  </w:r>
                </w:p>
              </w:tc>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0299A072">
                  <w:pPr>
                    <w:widowControl/>
                    <w:jc w:val="left"/>
                    <w:rPr>
                      <w:rFonts w:ascii="宋体" w:hAnsi="宋体" w:eastAsia="宋体" w:cs="宋体"/>
                      <w:kern w:val="0"/>
                      <w:sz w:val="24"/>
                      <w:szCs w:val="24"/>
                    </w:rPr>
                  </w:pPr>
                  <w:r>
                    <w:rPr>
                      <w:rFonts w:ascii="宋体" w:hAnsi="宋体" w:eastAsia="宋体" w:cs="宋体"/>
                      <w:kern w:val="0"/>
                      <w:sz w:val="24"/>
                      <w:szCs w:val="24"/>
                    </w:rPr>
                    <w:t>144（块）</w:t>
                  </w:r>
                </w:p>
              </w:tc>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338037AE">
                  <w:pPr>
                    <w:widowControl/>
                    <w:jc w:val="left"/>
                    <w:rPr>
                      <w:rFonts w:ascii="宋体" w:hAnsi="宋体" w:eastAsia="宋体" w:cs="宋体"/>
                      <w:kern w:val="0"/>
                      <w:sz w:val="24"/>
                      <w:szCs w:val="24"/>
                    </w:rPr>
                  </w:pPr>
                  <w:r>
                    <w:rPr>
                      <w:rFonts w:ascii="宋体" w:hAnsi="宋体" w:eastAsia="宋体" w:cs="宋体"/>
                      <w:kern w:val="0"/>
                      <w:sz w:val="24"/>
                      <w:szCs w:val="24"/>
                    </w:rPr>
                    <w:t>1,728,000.0000</w:t>
                  </w:r>
                </w:p>
              </w:tc>
            </w:tr>
            <w:tr w14:paraId="055E579F">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rPr>
                <w:jc w:val="center"/>
              </w:trPr>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3A8EF0C3">
                  <w:pPr>
                    <w:widowControl/>
                    <w:jc w:val="left"/>
                    <w:rPr>
                      <w:rFonts w:ascii="宋体" w:hAnsi="宋体" w:eastAsia="宋体" w:cs="宋体"/>
                      <w:kern w:val="0"/>
                      <w:sz w:val="24"/>
                      <w:szCs w:val="24"/>
                    </w:rPr>
                  </w:pPr>
                  <w:r>
                    <w:rPr>
                      <w:rFonts w:ascii="宋体" w:hAnsi="宋体" w:eastAsia="宋体" w:cs="宋体"/>
                      <w:kern w:val="0"/>
                      <w:sz w:val="24"/>
                      <w:szCs w:val="24"/>
                    </w:rPr>
                    <w:t>1-17</w:t>
                  </w:r>
                </w:p>
              </w:tc>
              <w:tc>
                <w:tcPr>
                  <w:tcW w:w="150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324A08EE">
                  <w:pPr>
                    <w:widowControl/>
                    <w:jc w:val="left"/>
                    <w:rPr>
                      <w:rFonts w:ascii="宋体" w:hAnsi="宋体" w:eastAsia="宋体" w:cs="宋体"/>
                      <w:kern w:val="0"/>
                      <w:sz w:val="24"/>
                      <w:szCs w:val="24"/>
                    </w:rPr>
                  </w:pPr>
                  <w:r>
                    <w:rPr>
                      <w:rFonts w:ascii="宋体" w:hAnsi="宋体" w:eastAsia="宋体" w:cs="宋体"/>
                      <w:kern w:val="0"/>
                      <w:sz w:val="24"/>
                      <w:szCs w:val="24"/>
                    </w:rPr>
                    <w:t>应用服务器内存增补</w:t>
                  </w:r>
                </w:p>
              </w:tc>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293C43B4">
                  <w:pPr>
                    <w:widowControl/>
                    <w:jc w:val="left"/>
                    <w:rPr>
                      <w:rFonts w:ascii="宋体" w:hAnsi="宋体" w:eastAsia="宋体" w:cs="宋体"/>
                      <w:kern w:val="0"/>
                      <w:sz w:val="24"/>
                      <w:szCs w:val="24"/>
                    </w:rPr>
                  </w:pPr>
                  <w:r>
                    <w:rPr>
                      <w:rFonts w:ascii="宋体" w:hAnsi="宋体" w:eastAsia="宋体" w:cs="宋体"/>
                      <w:kern w:val="0"/>
                      <w:sz w:val="24"/>
                      <w:szCs w:val="24"/>
                    </w:rPr>
                    <w:t>否</w:t>
                  </w:r>
                </w:p>
              </w:tc>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72D2D51A">
                  <w:pPr>
                    <w:widowControl/>
                    <w:jc w:val="left"/>
                    <w:rPr>
                      <w:rFonts w:ascii="宋体" w:hAnsi="宋体" w:eastAsia="宋体" w:cs="宋体"/>
                      <w:kern w:val="0"/>
                      <w:sz w:val="24"/>
                      <w:szCs w:val="24"/>
                    </w:rPr>
                  </w:pPr>
                  <w:r>
                    <w:rPr>
                      <w:rFonts w:ascii="宋体" w:hAnsi="宋体" w:eastAsia="宋体" w:cs="宋体"/>
                      <w:kern w:val="0"/>
                      <w:sz w:val="24"/>
                      <w:szCs w:val="24"/>
                    </w:rPr>
                    <w:t>300（条）</w:t>
                  </w:r>
                </w:p>
              </w:tc>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7C499AD3">
                  <w:pPr>
                    <w:widowControl/>
                    <w:jc w:val="left"/>
                    <w:rPr>
                      <w:rFonts w:ascii="宋体" w:hAnsi="宋体" w:eastAsia="宋体" w:cs="宋体"/>
                      <w:kern w:val="0"/>
                      <w:sz w:val="24"/>
                      <w:szCs w:val="24"/>
                    </w:rPr>
                  </w:pPr>
                  <w:r>
                    <w:rPr>
                      <w:rFonts w:ascii="宋体" w:hAnsi="宋体" w:eastAsia="宋体" w:cs="宋体"/>
                      <w:kern w:val="0"/>
                      <w:sz w:val="24"/>
                      <w:szCs w:val="24"/>
                    </w:rPr>
                    <w:t>750,000.0000</w:t>
                  </w:r>
                </w:p>
              </w:tc>
            </w:tr>
            <w:tr w14:paraId="1041D95A">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rPr>
                <w:jc w:val="center"/>
              </w:trPr>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379D0016">
                  <w:pPr>
                    <w:widowControl/>
                    <w:jc w:val="left"/>
                    <w:rPr>
                      <w:rFonts w:ascii="宋体" w:hAnsi="宋体" w:eastAsia="宋体" w:cs="宋体"/>
                      <w:kern w:val="0"/>
                      <w:sz w:val="24"/>
                      <w:szCs w:val="24"/>
                    </w:rPr>
                  </w:pPr>
                  <w:r>
                    <w:rPr>
                      <w:rFonts w:ascii="宋体" w:hAnsi="宋体" w:eastAsia="宋体" w:cs="宋体"/>
                      <w:kern w:val="0"/>
                      <w:sz w:val="24"/>
                      <w:szCs w:val="24"/>
                    </w:rPr>
                    <w:t>1-18</w:t>
                  </w:r>
                </w:p>
              </w:tc>
              <w:tc>
                <w:tcPr>
                  <w:tcW w:w="150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2DCF4302">
                  <w:pPr>
                    <w:widowControl/>
                    <w:jc w:val="left"/>
                    <w:rPr>
                      <w:rFonts w:ascii="宋体" w:hAnsi="宋体" w:eastAsia="宋体" w:cs="宋体"/>
                      <w:kern w:val="0"/>
                      <w:sz w:val="24"/>
                      <w:szCs w:val="24"/>
                    </w:rPr>
                  </w:pPr>
                  <w:r>
                    <w:rPr>
                      <w:rFonts w:ascii="宋体" w:hAnsi="宋体" w:eastAsia="宋体" w:cs="宋体"/>
                      <w:kern w:val="0"/>
                      <w:sz w:val="24"/>
                      <w:szCs w:val="24"/>
                    </w:rPr>
                    <w:t>安全服务器硬盘增补</w:t>
                  </w:r>
                </w:p>
              </w:tc>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1783E9B6">
                  <w:pPr>
                    <w:widowControl/>
                    <w:jc w:val="left"/>
                    <w:rPr>
                      <w:rFonts w:ascii="宋体" w:hAnsi="宋体" w:eastAsia="宋体" w:cs="宋体"/>
                      <w:kern w:val="0"/>
                      <w:sz w:val="24"/>
                      <w:szCs w:val="24"/>
                    </w:rPr>
                  </w:pPr>
                  <w:r>
                    <w:rPr>
                      <w:rFonts w:ascii="宋体" w:hAnsi="宋体" w:eastAsia="宋体" w:cs="宋体"/>
                      <w:kern w:val="0"/>
                      <w:sz w:val="24"/>
                      <w:szCs w:val="24"/>
                    </w:rPr>
                    <w:t>否</w:t>
                  </w:r>
                </w:p>
              </w:tc>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0A425DB5">
                  <w:pPr>
                    <w:widowControl/>
                    <w:jc w:val="left"/>
                    <w:rPr>
                      <w:rFonts w:ascii="宋体" w:hAnsi="宋体" w:eastAsia="宋体" w:cs="宋体"/>
                      <w:kern w:val="0"/>
                      <w:sz w:val="24"/>
                      <w:szCs w:val="24"/>
                    </w:rPr>
                  </w:pPr>
                  <w:r>
                    <w:rPr>
                      <w:rFonts w:ascii="宋体" w:hAnsi="宋体" w:eastAsia="宋体" w:cs="宋体"/>
                      <w:kern w:val="0"/>
                      <w:sz w:val="24"/>
                      <w:szCs w:val="24"/>
                    </w:rPr>
                    <w:t>24（块）</w:t>
                  </w:r>
                </w:p>
              </w:tc>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01C12B2C">
                  <w:pPr>
                    <w:widowControl/>
                    <w:jc w:val="left"/>
                    <w:rPr>
                      <w:rFonts w:ascii="宋体" w:hAnsi="宋体" w:eastAsia="宋体" w:cs="宋体"/>
                      <w:kern w:val="0"/>
                      <w:sz w:val="24"/>
                      <w:szCs w:val="24"/>
                    </w:rPr>
                  </w:pPr>
                  <w:r>
                    <w:rPr>
                      <w:rFonts w:ascii="宋体" w:hAnsi="宋体" w:eastAsia="宋体" w:cs="宋体"/>
                      <w:kern w:val="0"/>
                      <w:sz w:val="24"/>
                      <w:szCs w:val="24"/>
                    </w:rPr>
                    <w:t>240,000.0000</w:t>
                  </w:r>
                </w:p>
              </w:tc>
            </w:tr>
          </w:tbl>
          <w:p w14:paraId="58E9071D">
            <w:pPr>
              <w:widowControl/>
              <w:jc w:val="center"/>
              <w:rPr>
                <w:rFonts w:ascii="宋体" w:hAnsi="宋体" w:eastAsia="宋体" w:cs="宋体"/>
                <w:kern w:val="0"/>
                <w:sz w:val="24"/>
                <w:szCs w:val="24"/>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1651787C">
            <w:pPr>
              <w:widowControl/>
              <w:jc w:val="center"/>
              <w:rPr>
                <w:rFonts w:ascii="宋体" w:hAnsi="宋体" w:eastAsia="宋体" w:cs="宋体"/>
                <w:kern w:val="0"/>
                <w:sz w:val="24"/>
                <w:szCs w:val="24"/>
              </w:rPr>
            </w:pPr>
            <w:r>
              <w:rPr>
                <w:rFonts w:ascii="宋体" w:hAnsi="宋体" w:eastAsia="宋体" w:cs="宋体"/>
                <w:kern w:val="0"/>
                <w:sz w:val="24"/>
                <w:szCs w:val="24"/>
              </w:rPr>
              <w:t>40596000</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4798BE69">
            <w:pPr>
              <w:widowControl/>
              <w:jc w:val="center"/>
              <w:rPr>
                <w:rFonts w:ascii="宋体" w:hAnsi="宋体" w:eastAsia="宋体" w:cs="宋体"/>
                <w:kern w:val="0"/>
                <w:sz w:val="24"/>
                <w:szCs w:val="24"/>
              </w:rPr>
            </w:pPr>
            <w:r>
              <w:rPr>
                <w:rFonts w:ascii="宋体" w:hAnsi="宋体" w:eastAsia="宋体" w:cs="宋体"/>
                <w:kern w:val="0"/>
                <w:sz w:val="24"/>
                <w:szCs w:val="24"/>
              </w:rPr>
              <w:t>40596000</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78FD7AFA">
            <w:pPr>
              <w:widowControl/>
              <w:jc w:val="center"/>
              <w:rPr>
                <w:rFonts w:ascii="宋体" w:hAnsi="宋体" w:eastAsia="宋体" w:cs="宋体"/>
                <w:kern w:val="0"/>
                <w:sz w:val="24"/>
                <w:szCs w:val="24"/>
              </w:rPr>
            </w:pPr>
            <w:r>
              <w:rPr>
                <w:rFonts w:ascii="宋体" w:hAnsi="宋体" w:eastAsia="宋体" w:cs="宋体"/>
                <w:kern w:val="0"/>
                <w:sz w:val="24"/>
                <w:szCs w:val="24"/>
              </w:rPr>
              <w:t>405960</w:t>
            </w:r>
          </w:p>
        </w:tc>
      </w:tr>
    </w:tbl>
    <w:p w14:paraId="67F77A1E">
      <w:pPr>
        <w:widowControl/>
        <w:spacing w:before="75" w:after="75"/>
        <w:jc w:val="center"/>
        <w:rPr>
          <w:rFonts w:ascii="宋体" w:hAnsi="宋体" w:eastAsia="宋体" w:cs="宋体"/>
          <w:b/>
          <w:bCs/>
          <w:kern w:val="0"/>
          <w:sz w:val="32"/>
          <w:szCs w:val="32"/>
        </w:rPr>
      </w:pPr>
    </w:p>
    <w:p w14:paraId="2BCCA412">
      <w:pPr>
        <w:widowControl/>
        <w:jc w:val="left"/>
        <w:rPr>
          <w:rFonts w:ascii="宋体" w:hAnsi="宋体" w:eastAsia="宋体" w:cs="宋体"/>
          <w:b/>
          <w:bCs/>
          <w:kern w:val="0"/>
          <w:sz w:val="32"/>
          <w:szCs w:val="32"/>
        </w:rPr>
      </w:pPr>
      <w:r>
        <w:rPr>
          <w:rFonts w:ascii="宋体" w:hAnsi="宋体" w:eastAsia="宋体" w:cs="宋体"/>
          <w:b/>
          <w:bCs/>
          <w:kern w:val="0"/>
          <w:sz w:val="32"/>
          <w:szCs w:val="32"/>
        </w:rPr>
        <w:br w:type="page"/>
      </w:r>
    </w:p>
    <w:p w14:paraId="5E56A3E5">
      <w:pPr>
        <w:widowControl/>
        <w:spacing w:before="75" w:after="75"/>
        <w:jc w:val="center"/>
        <w:rPr>
          <w:rFonts w:ascii="宋体" w:hAnsi="宋体" w:eastAsia="宋体" w:cs="宋体"/>
          <w:kern w:val="0"/>
          <w:sz w:val="24"/>
          <w:szCs w:val="24"/>
        </w:rPr>
      </w:pPr>
      <w:r>
        <w:rPr>
          <w:rFonts w:hint="eastAsia" w:ascii="宋体" w:hAnsi="宋体" w:eastAsia="宋体" w:cs="宋体"/>
          <w:b/>
          <w:bCs/>
          <w:kern w:val="0"/>
          <w:sz w:val="32"/>
          <w:szCs w:val="32"/>
        </w:rPr>
        <w:t>第二章</w:t>
      </w:r>
      <w:r>
        <w:rPr>
          <w:rFonts w:ascii="宋体" w:hAnsi="宋体" w:eastAsia="宋体" w:cs="宋体"/>
          <w:b/>
          <w:bCs/>
          <w:kern w:val="0"/>
          <w:sz w:val="32"/>
          <w:szCs w:val="32"/>
        </w:rPr>
        <w:t>   </w:t>
      </w:r>
      <w:r>
        <w:rPr>
          <w:rFonts w:hint="eastAsia" w:ascii="宋体" w:hAnsi="宋体" w:eastAsia="宋体" w:cs="宋体"/>
          <w:b/>
          <w:bCs/>
          <w:kern w:val="0"/>
          <w:sz w:val="32"/>
          <w:szCs w:val="32"/>
        </w:rPr>
        <w:t>投标人须知前附表（表1、</w:t>
      </w:r>
      <w:r>
        <w:rPr>
          <w:rFonts w:ascii="Times New Roman" w:hAnsi="Times New Roman" w:eastAsia="宋体" w:cs="Times New Roman"/>
          <w:b/>
          <w:bCs/>
          <w:kern w:val="0"/>
          <w:sz w:val="32"/>
          <w:szCs w:val="32"/>
        </w:rPr>
        <w:t>2</w:t>
      </w:r>
      <w:r>
        <w:rPr>
          <w:rFonts w:hint="eastAsia" w:ascii="宋体" w:hAnsi="宋体" w:eastAsia="宋体" w:cs="宋体"/>
          <w:b/>
          <w:bCs/>
          <w:kern w:val="0"/>
          <w:sz w:val="32"/>
          <w:szCs w:val="32"/>
        </w:rPr>
        <w:t>）</w:t>
      </w:r>
    </w:p>
    <w:p w14:paraId="4EF3786A">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14:paraId="299823F7">
      <w:pPr>
        <w:widowControl/>
        <w:spacing w:before="75" w:after="75"/>
        <w:jc w:val="center"/>
        <w:rPr>
          <w:rFonts w:ascii="宋体" w:hAnsi="宋体" w:eastAsia="宋体" w:cs="宋体"/>
          <w:kern w:val="0"/>
          <w:sz w:val="24"/>
          <w:szCs w:val="24"/>
        </w:rPr>
      </w:pPr>
      <w:r>
        <w:rPr>
          <w:rFonts w:hint="eastAsia" w:ascii="宋体" w:hAnsi="宋体" w:eastAsia="宋体" w:cs="宋体"/>
          <w:b/>
          <w:bCs/>
          <w:kern w:val="0"/>
          <w:sz w:val="24"/>
          <w:szCs w:val="24"/>
        </w:rPr>
        <w:t>一、投标人须知前附表1</w:t>
      </w:r>
      <w:r>
        <w:rPr>
          <w:rFonts w:hint="eastAsia" w:ascii="宋体" w:hAnsi="宋体" w:eastAsia="宋体" w:cs="宋体"/>
          <w:b/>
          <w:bCs/>
          <w:kern w:val="0"/>
          <w:sz w:val="24"/>
          <w:szCs w:val="24"/>
        </w:rPr>
        <w:br w:type="textWrapping"/>
      </w:r>
      <w:r>
        <w:rPr>
          <w:rFonts w:hint="eastAsia" w:ascii="宋体" w:hAnsi="宋体" w:eastAsia="宋体" w:cs="宋体"/>
          <w:b/>
          <w:bCs/>
          <w:kern w:val="0"/>
          <w:sz w:val="24"/>
          <w:szCs w:val="24"/>
        </w:rPr>
        <w:br w:type="textWrapping"/>
      </w:r>
    </w:p>
    <w:tbl>
      <w:tblPr>
        <w:tblStyle w:val="9"/>
        <w:tblW w:w="0" w:type="auto"/>
        <w:tblInd w:w="0" w:type="dxa"/>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900"/>
        <w:gridCol w:w="1794"/>
        <w:gridCol w:w="5822"/>
      </w:tblGrid>
      <w:tr w14:paraId="21C62600">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0" w:type="auto"/>
            <w:gridSpan w:val="3"/>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4EBF2D20">
            <w:pPr>
              <w:widowControl/>
              <w:jc w:val="center"/>
              <w:rPr>
                <w:rFonts w:ascii="宋体" w:hAnsi="宋体" w:eastAsia="宋体" w:cs="宋体"/>
                <w:kern w:val="0"/>
                <w:sz w:val="24"/>
                <w:szCs w:val="24"/>
              </w:rPr>
            </w:pPr>
            <w:r>
              <w:rPr>
                <w:rFonts w:hint="eastAsia" w:ascii="宋体" w:hAnsi="宋体" w:eastAsia="宋体" w:cs="宋体"/>
                <w:b/>
                <w:bCs/>
                <w:kern w:val="0"/>
                <w:sz w:val="24"/>
                <w:szCs w:val="24"/>
              </w:rPr>
              <w:t>特别提示：本表与招标文件对应章节的内容若不一致，以本表为准。</w:t>
            </w:r>
          </w:p>
        </w:tc>
      </w:tr>
      <w:tr w14:paraId="373475D7">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220282FD">
            <w:pPr>
              <w:widowControl/>
              <w:jc w:val="center"/>
              <w:rPr>
                <w:rFonts w:ascii="宋体" w:hAnsi="宋体" w:eastAsia="宋体" w:cs="宋体"/>
                <w:kern w:val="0"/>
                <w:sz w:val="24"/>
                <w:szCs w:val="24"/>
              </w:rPr>
            </w:pPr>
            <w:r>
              <w:rPr>
                <w:rFonts w:hint="eastAsia" w:ascii="宋体" w:hAnsi="宋体" w:eastAsia="宋体" w:cs="宋体"/>
                <w:kern w:val="0"/>
                <w:sz w:val="24"/>
                <w:szCs w:val="24"/>
              </w:rPr>
              <w:t>项号</w:t>
            </w:r>
          </w:p>
        </w:tc>
        <w:tc>
          <w:tcPr>
            <w:tcW w:w="0" w:type="auto"/>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FBCE8AB">
            <w:pPr>
              <w:widowControl/>
              <w:jc w:val="center"/>
              <w:rPr>
                <w:rFonts w:ascii="宋体" w:hAnsi="宋体" w:eastAsia="宋体" w:cs="宋体"/>
                <w:kern w:val="0"/>
                <w:sz w:val="24"/>
                <w:szCs w:val="24"/>
              </w:rPr>
            </w:pPr>
            <w:r>
              <w:rPr>
                <w:rFonts w:hint="eastAsia" w:ascii="宋体" w:hAnsi="宋体" w:eastAsia="宋体" w:cs="宋体"/>
                <w:kern w:val="0"/>
                <w:sz w:val="24"/>
                <w:szCs w:val="24"/>
              </w:rPr>
              <w:t>招标文件</w:t>
            </w:r>
          </w:p>
          <w:p w14:paraId="7053602F">
            <w:pPr>
              <w:widowControl/>
              <w:jc w:val="center"/>
              <w:rPr>
                <w:rFonts w:ascii="宋体" w:hAnsi="宋体" w:eastAsia="宋体" w:cs="宋体"/>
                <w:kern w:val="0"/>
                <w:sz w:val="24"/>
                <w:szCs w:val="24"/>
              </w:rPr>
            </w:pPr>
            <w:r>
              <w:rPr>
                <w:rFonts w:hint="eastAsia" w:ascii="宋体" w:hAnsi="宋体" w:eastAsia="宋体" w:cs="宋体"/>
                <w:kern w:val="0"/>
                <w:sz w:val="24"/>
                <w:szCs w:val="24"/>
              </w:rPr>
              <w:t>（第三章）</w:t>
            </w:r>
          </w:p>
        </w:tc>
        <w:tc>
          <w:tcPr>
            <w:tcW w:w="0" w:type="auto"/>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6FAF9BC">
            <w:pPr>
              <w:widowControl/>
              <w:jc w:val="center"/>
              <w:rPr>
                <w:rFonts w:ascii="宋体" w:hAnsi="宋体" w:eastAsia="宋体" w:cs="宋体"/>
                <w:kern w:val="0"/>
                <w:sz w:val="24"/>
                <w:szCs w:val="24"/>
              </w:rPr>
            </w:pPr>
            <w:r>
              <w:rPr>
                <w:rFonts w:hint="eastAsia" w:ascii="宋体" w:hAnsi="宋体" w:eastAsia="宋体" w:cs="宋体"/>
                <w:kern w:val="0"/>
                <w:sz w:val="24"/>
                <w:szCs w:val="24"/>
              </w:rPr>
              <w:t>编列内容</w:t>
            </w:r>
          </w:p>
        </w:tc>
      </w:tr>
      <w:tr w14:paraId="4C3B27C6">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364DCFDC">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C6D7767">
            <w:pPr>
              <w:widowControl/>
              <w:jc w:val="center"/>
              <w:rPr>
                <w:rFonts w:ascii="宋体" w:hAnsi="宋体" w:eastAsia="宋体" w:cs="宋体"/>
                <w:kern w:val="0"/>
                <w:sz w:val="24"/>
                <w:szCs w:val="24"/>
              </w:rPr>
            </w:pPr>
            <w:r>
              <w:rPr>
                <w:rFonts w:hint="eastAsia" w:ascii="宋体" w:hAnsi="宋体" w:eastAsia="宋体" w:cs="宋体"/>
                <w:kern w:val="0"/>
                <w:sz w:val="24"/>
                <w:szCs w:val="24"/>
              </w:rPr>
              <w:t>6.1</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CA9AEF3">
            <w:pPr>
              <w:widowControl/>
              <w:jc w:val="left"/>
              <w:rPr>
                <w:rFonts w:ascii="宋体" w:hAnsi="宋体" w:eastAsia="宋体" w:cs="宋体"/>
                <w:kern w:val="0"/>
                <w:sz w:val="24"/>
                <w:szCs w:val="24"/>
              </w:rPr>
            </w:pPr>
            <w:r>
              <w:rPr>
                <w:rFonts w:hint="eastAsia" w:ascii="宋体" w:hAnsi="宋体" w:eastAsia="宋体" w:cs="宋体"/>
                <w:b/>
                <w:bCs/>
                <w:kern w:val="0"/>
                <w:sz w:val="24"/>
                <w:szCs w:val="24"/>
              </w:rPr>
              <w:t>是否组织现场考察或召开开标前答疑会：</w:t>
            </w:r>
            <w:r>
              <w:rPr>
                <w:rFonts w:hint="eastAsia" w:ascii="宋体" w:hAnsi="宋体" w:eastAsia="宋体" w:cs="宋体"/>
                <w:kern w:val="0"/>
                <w:sz w:val="24"/>
                <w:szCs w:val="24"/>
              </w:rPr>
              <w:t>否。</w:t>
            </w:r>
          </w:p>
        </w:tc>
      </w:tr>
      <w:tr w14:paraId="1F20753F">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3F634BD8">
            <w:pPr>
              <w:widowControl/>
              <w:wordWrap w:val="0"/>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DAFDF55">
            <w:pPr>
              <w:widowControl/>
              <w:jc w:val="center"/>
              <w:rPr>
                <w:rFonts w:ascii="宋体" w:hAnsi="宋体" w:eastAsia="宋体" w:cs="宋体"/>
                <w:kern w:val="0"/>
                <w:sz w:val="24"/>
                <w:szCs w:val="24"/>
              </w:rPr>
            </w:pPr>
            <w:r>
              <w:rPr>
                <w:rFonts w:hint="eastAsia" w:ascii="宋体" w:hAnsi="宋体" w:eastAsia="宋体" w:cs="宋体"/>
                <w:kern w:val="0"/>
                <w:sz w:val="24"/>
                <w:szCs w:val="24"/>
              </w:rPr>
              <w:t>10.4</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5B1ED95">
            <w:pPr>
              <w:widowControl/>
              <w:wordWrap w:val="0"/>
              <w:jc w:val="left"/>
              <w:rPr>
                <w:rFonts w:ascii="宋体" w:hAnsi="宋体" w:eastAsia="宋体" w:cs="宋体"/>
                <w:kern w:val="0"/>
                <w:sz w:val="24"/>
                <w:szCs w:val="24"/>
              </w:rPr>
            </w:pPr>
            <w:r>
              <w:rPr>
                <w:rFonts w:hint="eastAsia" w:ascii="宋体" w:hAnsi="宋体" w:eastAsia="宋体" w:cs="宋体"/>
                <w:b/>
                <w:bCs/>
                <w:kern w:val="0"/>
                <w:sz w:val="24"/>
                <w:szCs w:val="24"/>
              </w:rPr>
              <w:t>投标文件的份数：</w:t>
            </w:r>
          </w:p>
          <w:p w14:paraId="2A97D3B3">
            <w:pPr>
              <w:widowControl/>
              <w:wordWrap w:val="0"/>
              <w:jc w:val="left"/>
              <w:rPr>
                <w:rFonts w:ascii="宋体" w:hAnsi="宋体" w:eastAsia="宋体" w:cs="宋体"/>
                <w:kern w:val="0"/>
                <w:sz w:val="24"/>
                <w:szCs w:val="24"/>
              </w:rPr>
            </w:pPr>
            <w:r>
              <w:rPr>
                <w:rFonts w:hint="eastAsia" w:ascii="宋体" w:hAnsi="宋体" w:eastAsia="宋体" w:cs="宋体"/>
                <w:kern w:val="0"/>
                <w:sz w:val="24"/>
                <w:szCs w:val="24"/>
              </w:rPr>
              <w:t>（1）可读介质（光盘或</w:t>
            </w:r>
            <w:r>
              <w:rPr>
                <w:rFonts w:ascii="Times New Roman" w:hAnsi="Times New Roman" w:eastAsia="宋体" w:cs="Times New Roman"/>
                <w:kern w:val="0"/>
                <w:sz w:val="24"/>
                <w:szCs w:val="24"/>
              </w:rPr>
              <w:t>U</w:t>
            </w:r>
            <w:r>
              <w:rPr>
                <w:rFonts w:hint="eastAsia" w:ascii="宋体" w:hAnsi="宋体" w:eastAsia="宋体" w:cs="宋体"/>
                <w:kern w:val="0"/>
                <w:sz w:val="24"/>
                <w:szCs w:val="24"/>
              </w:rPr>
              <w:t>盘）</w:t>
            </w:r>
            <w:r>
              <w:rPr>
                <w:rFonts w:hint="eastAsia" w:ascii="宋体" w:hAnsi="宋体" w:eastAsia="宋体" w:cs="宋体"/>
                <w:kern w:val="0"/>
                <w:sz w:val="24"/>
                <w:szCs w:val="24"/>
                <w:u w:val="single"/>
              </w:rPr>
              <w:t>0</w:t>
            </w:r>
            <w:r>
              <w:rPr>
                <w:rFonts w:hint="eastAsia" w:ascii="宋体" w:hAnsi="宋体" w:eastAsia="宋体" w:cs="宋体"/>
                <w:kern w:val="0"/>
                <w:sz w:val="24"/>
                <w:szCs w:val="24"/>
              </w:rPr>
              <w:t>份：投标人应将其上传至福建省政府采购网上公开信息系统的电子投标文件在该可读介质中另存</w:t>
            </w:r>
            <w:r>
              <w:rPr>
                <w:rFonts w:hint="eastAsia" w:ascii="宋体" w:hAnsi="宋体" w:eastAsia="宋体" w:cs="宋体"/>
                <w:kern w:val="0"/>
                <w:sz w:val="24"/>
                <w:szCs w:val="24"/>
                <w:u w:val="single"/>
              </w:rPr>
              <w:t>0</w:t>
            </w:r>
            <w:r>
              <w:rPr>
                <w:rFonts w:hint="eastAsia" w:ascii="宋体" w:hAnsi="宋体" w:eastAsia="宋体" w:cs="宋体"/>
                <w:kern w:val="0"/>
                <w:sz w:val="24"/>
                <w:szCs w:val="24"/>
              </w:rPr>
              <w:t>份。</w:t>
            </w:r>
          </w:p>
          <w:p w14:paraId="77CD7B83">
            <w:pPr>
              <w:widowControl/>
              <w:wordWrap w:val="0"/>
              <w:jc w:val="left"/>
              <w:rPr>
                <w:rFonts w:ascii="宋体" w:hAnsi="宋体" w:eastAsia="宋体" w:cs="宋体"/>
                <w:kern w:val="0"/>
                <w:sz w:val="24"/>
                <w:szCs w:val="24"/>
              </w:rPr>
            </w:pPr>
            <w:r>
              <w:rPr>
                <w:rFonts w:hint="eastAsia" w:ascii="宋体" w:hAnsi="宋体" w:eastAsia="宋体" w:cs="宋体"/>
                <w:kern w:val="0"/>
                <w:sz w:val="24"/>
                <w:szCs w:val="24"/>
              </w:rPr>
              <w:t>（2）电子投标文件：详见投标人须知前附表2《关于电子招标投标活动的专门规定》。</w:t>
            </w:r>
          </w:p>
        </w:tc>
      </w:tr>
      <w:tr w14:paraId="70B844E9">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29126F1E">
            <w:pPr>
              <w:widowControl/>
              <w:wordWrap w:val="0"/>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72B96AB">
            <w:pPr>
              <w:widowControl/>
              <w:jc w:val="left"/>
              <w:rPr>
                <w:rFonts w:ascii="宋体" w:hAnsi="宋体" w:eastAsia="宋体" w:cs="宋体"/>
                <w:kern w:val="0"/>
                <w:sz w:val="24"/>
                <w:szCs w:val="24"/>
              </w:rPr>
            </w:pPr>
            <w:r>
              <w:rPr>
                <w:rFonts w:hint="eastAsia" w:ascii="宋体" w:hAnsi="宋体" w:eastAsia="宋体" w:cs="宋体"/>
                <w:kern w:val="0"/>
                <w:sz w:val="24"/>
                <w:szCs w:val="24"/>
              </w:rPr>
              <w:t> 10.7-（</w:t>
            </w:r>
            <w:r>
              <w:rPr>
                <w:rFonts w:ascii="Times New Roman" w:hAnsi="Times New Roman" w:eastAsia="宋体" w:cs="Times New Roman"/>
                <w:kern w:val="0"/>
                <w:sz w:val="24"/>
                <w:szCs w:val="24"/>
              </w:rPr>
              <w:t>1</w:t>
            </w:r>
            <w:r>
              <w:rPr>
                <w:rFonts w:hint="eastAsia" w:ascii="宋体" w:hAnsi="宋体" w:eastAsia="宋体" w:cs="宋体"/>
                <w:kern w:val="0"/>
                <w:sz w:val="24"/>
                <w:szCs w:val="24"/>
              </w:rPr>
              <w:t>）</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0CA5814">
            <w:pPr>
              <w:widowControl/>
              <w:jc w:val="left"/>
              <w:rPr>
                <w:rFonts w:ascii="宋体" w:hAnsi="宋体" w:eastAsia="宋体" w:cs="宋体"/>
                <w:kern w:val="0"/>
                <w:sz w:val="24"/>
                <w:szCs w:val="24"/>
              </w:rPr>
            </w:pPr>
            <w:r>
              <w:rPr>
                <w:rFonts w:hint="eastAsia" w:ascii="宋体" w:hAnsi="宋体" w:eastAsia="宋体" w:cs="宋体"/>
                <w:b/>
                <w:bCs/>
                <w:kern w:val="0"/>
                <w:sz w:val="24"/>
                <w:szCs w:val="24"/>
              </w:rPr>
              <w:t>是否允许中标人将本项目的非主体、非关键性工作进行分包：</w:t>
            </w:r>
          </w:p>
          <w:p w14:paraId="6B2069CB">
            <w:pPr>
              <w:widowControl/>
              <w:jc w:val="left"/>
              <w:rPr>
                <w:rFonts w:ascii="宋体" w:hAnsi="宋体" w:eastAsia="宋体" w:cs="宋体"/>
                <w:kern w:val="0"/>
                <w:sz w:val="24"/>
                <w:szCs w:val="24"/>
              </w:rPr>
            </w:pPr>
            <w:r>
              <w:rPr>
                <w:rFonts w:hint="eastAsia" w:ascii="宋体" w:hAnsi="宋体" w:eastAsia="宋体" w:cs="宋体"/>
                <w:kern w:val="0"/>
                <w:sz w:val="24"/>
                <w:szCs w:val="24"/>
              </w:rPr>
              <w:t>不允许。</w:t>
            </w:r>
          </w:p>
        </w:tc>
      </w:tr>
      <w:tr w14:paraId="644562C7">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303777BD">
            <w:pPr>
              <w:widowControl/>
              <w:wordWrap w:val="0"/>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917E632">
            <w:pPr>
              <w:widowControl/>
              <w:jc w:val="center"/>
              <w:rPr>
                <w:rFonts w:ascii="宋体" w:hAnsi="宋体" w:eastAsia="宋体" w:cs="宋体"/>
                <w:kern w:val="0"/>
                <w:sz w:val="24"/>
                <w:szCs w:val="24"/>
              </w:rPr>
            </w:pPr>
            <w:r>
              <w:rPr>
                <w:rFonts w:hint="eastAsia" w:ascii="宋体" w:hAnsi="宋体" w:eastAsia="宋体" w:cs="宋体"/>
                <w:kern w:val="0"/>
                <w:sz w:val="24"/>
                <w:szCs w:val="24"/>
              </w:rPr>
              <w:t>10.8-（</w:t>
            </w:r>
            <w:r>
              <w:rPr>
                <w:rFonts w:ascii="Calibri" w:hAnsi="Calibri" w:eastAsia="宋体" w:cs="Calibri"/>
                <w:kern w:val="0"/>
                <w:sz w:val="24"/>
                <w:szCs w:val="24"/>
              </w:rPr>
              <w:t>1</w:t>
            </w:r>
            <w:r>
              <w:rPr>
                <w:rFonts w:hint="eastAsia" w:ascii="宋体" w:hAnsi="宋体" w:eastAsia="宋体" w:cs="宋体"/>
                <w:kern w:val="0"/>
                <w:sz w:val="24"/>
                <w:szCs w:val="24"/>
              </w:rPr>
              <w:t>）</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859018F">
            <w:pPr>
              <w:widowControl/>
              <w:jc w:val="left"/>
              <w:rPr>
                <w:rFonts w:ascii="宋体" w:hAnsi="宋体" w:eastAsia="宋体" w:cs="宋体"/>
                <w:kern w:val="0"/>
                <w:sz w:val="24"/>
                <w:szCs w:val="24"/>
              </w:rPr>
            </w:pPr>
            <w:r>
              <w:rPr>
                <w:rFonts w:hint="eastAsia" w:ascii="宋体" w:hAnsi="宋体" w:eastAsia="宋体" w:cs="宋体"/>
                <w:b/>
                <w:bCs/>
                <w:kern w:val="0"/>
                <w:sz w:val="24"/>
                <w:szCs w:val="24"/>
              </w:rPr>
              <w:t>投标有效期</w:t>
            </w:r>
            <w:r>
              <w:rPr>
                <w:rFonts w:hint="eastAsia" w:ascii="宋体" w:hAnsi="宋体" w:eastAsia="宋体" w:cs="宋体"/>
                <w:kern w:val="0"/>
                <w:sz w:val="24"/>
                <w:szCs w:val="24"/>
              </w:rPr>
              <w:t>：投标截止时间起90个日历日。</w:t>
            </w:r>
          </w:p>
        </w:tc>
      </w:tr>
      <w:tr w14:paraId="1449D865">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12809085">
            <w:pPr>
              <w:widowControl/>
              <w:wordWrap w:val="0"/>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98C0B53">
            <w:pPr>
              <w:widowControl/>
              <w:jc w:val="center"/>
              <w:rPr>
                <w:rFonts w:ascii="宋体" w:hAnsi="宋体" w:eastAsia="宋体" w:cs="宋体"/>
                <w:kern w:val="0"/>
                <w:sz w:val="24"/>
                <w:szCs w:val="24"/>
              </w:rPr>
            </w:pPr>
            <w:r>
              <w:rPr>
                <w:rFonts w:hint="eastAsia" w:ascii="宋体" w:hAnsi="宋体" w:eastAsia="宋体" w:cs="宋体"/>
                <w:kern w:val="0"/>
                <w:sz w:val="24"/>
                <w:szCs w:val="24"/>
              </w:rPr>
              <w:t>12.1</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0F69A6E">
            <w:pPr>
              <w:widowControl/>
              <w:jc w:val="left"/>
              <w:rPr>
                <w:rFonts w:ascii="宋体" w:hAnsi="宋体" w:eastAsia="宋体" w:cs="宋体"/>
                <w:kern w:val="0"/>
                <w:sz w:val="24"/>
                <w:szCs w:val="24"/>
              </w:rPr>
            </w:pPr>
            <w:r>
              <w:rPr>
                <w:rFonts w:hint="eastAsia" w:ascii="宋体" w:hAnsi="宋体" w:eastAsia="宋体" w:cs="宋体"/>
                <w:kern w:val="0"/>
                <w:sz w:val="24"/>
                <w:szCs w:val="24"/>
              </w:rPr>
              <w:t>本项目推荐项目包1中标候选人数为1家。</w:t>
            </w:r>
          </w:p>
        </w:tc>
      </w:tr>
      <w:tr w14:paraId="32033FE1">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748DC66">
            <w:pPr>
              <w:widowControl/>
              <w:wordWrap w:val="0"/>
              <w:jc w:val="left"/>
              <w:rPr>
                <w:rFonts w:ascii="宋体" w:hAnsi="宋体" w:eastAsia="宋体" w:cs="宋体"/>
                <w:kern w:val="0"/>
                <w:sz w:val="24"/>
                <w:szCs w:val="24"/>
              </w:rPr>
            </w:pPr>
            <w:r>
              <w:rPr>
                <w:rFonts w:ascii="宋体" w:hAnsi="宋体" w:eastAsia="宋体" w:cs="宋体"/>
                <w:kern w:val="0"/>
                <w:sz w:val="24"/>
                <w:szCs w:val="24"/>
              </w:rPr>
              <w:t>  </w:t>
            </w:r>
            <w:r>
              <w:rPr>
                <w:rFonts w:hint="eastAsia" w:ascii="宋体" w:hAnsi="宋体" w:eastAsia="宋体" w:cs="宋体"/>
                <w:kern w:val="0"/>
                <w:sz w:val="24"/>
                <w:szCs w:val="24"/>
              </w:rPr>
              <w:t>6</w:t>
            </w:r>
          </w:p>
        </w:tc>
        <w:tc>
          <w:tcPr>
            <w:tcW w:w="0" w:type="auto"/>
            <w:tcBorders>
              <w:top w:val="nil"/>
              <w:left w:val="nil"/>
              <w:bottom w:val="single" w:color="000000" w:sz="6" w:space="0"/>
              <w:right w:val="single" w:color="000000" w:sz="6" w:space="0"/>
            </w:tcBorders>
            <w:shd w:val="clear" w:color="auto" w:fill="FFFFFF"/>
            <w:tcMar>
              <w:top w:w="75" w:type="dxa"/>
              <w:left w:w="150" w:type="dxa"/>
              <w:bottom w:w="75" w:type="dxa"/>
              <w:right w:w="150" w:type="dxa"/>
            </w:tcMar>
            <w:vAlign w:val="center"/>
          </w:tcPr>
          <w:p w14:paraId="21656656">
            <w:pPr>
              <w:widowControl/>
              <w:wordWrap w:val="0"/>
              <w:jc w:val="left"/>
              <w:rPr>
                <w:rFonts w:ascii="宋体" w:hAnsi="宋体" w:eastAsia="宋体" w:cs="宋体"/>
                <w:kern w:val="0"/>
                <w:sz w:val="24"/>
                <w:szCs w:val="24"/>
              </w:rPr>
            </w:pPr>
            <w:r>
              <w:rPr>
                <w:rFonts w:ascii="宋体" w:hAnsi="宋体" w:eastAsia="宋体" w:cs="宋体"/>
                <w:kern w:val="0"/>
                <w:sz w:val="24"/>
                <w:szCs w:val="24"/>
              </w:rPr>
              <w:t>       </w:t>
            </w:r>
            <w:r>
              <w:rPr>
                <w:rFonts w:hint="eastAsia" w:ascii="宋体" w:hAnsi="宋体" w:eastAsia="宋体" w:cs="宋体"/>
                <w:kern w:val="0"/>
                <w:sz w:val="24"/>
                <w:szCs w:val="24"/>
              </w:rPr>
              <w:t>12.2</w:t>
            </w:r>
          </w:p>
        </w:tc>
        <w:tc>
          <w:tcPr>
            <w:tcW w:w="0" w:type="auto"/>
            <w:tcBorders>
              <w:top w:val="nil"/>
              <w:left w:val="nil"/>
              <w:bottom w:val="single" w:color="000000" w:sz="6" w:space="0"/>
              <w:right w:val="single" w:color="000000" w:sz="6" w:space="0"/>
            </w:tcBorders>
            <w:shd w:val="clear" w:color="auto" w:fill="FFFFFF"/>
            <w:tcMar>
              <w:top w:w="75" w:type="dxa"/>
              <w:left w:w="150" w:type="dxa"/>
              <w:bottom w:w="75" w:type="dxa"/>
              <w:right w:w="150" w:type="dxa"/>
            </w:tcMar>
            <w:vAlign w:val="center"/>
          </w:tcPr>
          <w:p w14:paraId="2CF41EB7">
            <w:pPr>
              <w:widowControl/>
              <w:wordWrap w:val="0"/>
              <w:jc w:val="left"/>
              <w:rPr>
                <w:rFonts w:ascii="宋体" w:hAnsi="宋体" w:eastAsia="宋体" w:cs="宋体"/>
                <w:kern w:val="0"/>
                <w:sz w:val="24"/>
                <w:szCs w:val="24"/>
              </w:rPr>
            </w:pPr>
            <w:r>
              <w:rPr>
                <w:rFonts w:hint="eastAsia" w:ascii="宋体" w:hAnsi="宋体" w:eastAsia="宋体" w:cs="宋体"/>
                <w:b/>
                <w:bCs/>
                <w:kern w:val="0"/>
                <w:sz w:val="24"/>
                <w:szCs w:val="24"/>
              </w:rPr>
              <w:t>本项目中标人的确定（以采购包为单位）：</w:t>
            </w:r>
          </w:p>
          <w:p w14:paraId="37D591AA">
            <w:pPr>
              <w:widowControl/>
              <w:wordWrap w:val="0"/>
              <w:jc w:val="left"/>
              <w:rPr>
                <w:rFonts w:ascii="宋体" w:hAnsi="宋体" w:eastAsia="宋体" w:cs="宋体"/>
                <w:kern w:val="0"/>
                <w:sz w:val="24"/>
                <w:szCs w:val="24"/>
              </w:rPr>
            </w:pPr>
            <w:r>
              <w:rPr>
                <w:rFonts w:hint="eastAsia" w:ascii="宋体" w:hAnsi="宋体" w:eastAsia="宋体" w:cs="宋体"/>
                <w:kern w:val="0"/>
                <w:sz w:val="24"/>
                <w:szCs w:val="24"/>
              </w:rPr>
              <w:t>（1）采购人应在政府采购招投标管理办法规定的时限内确定中标人。</w:t>
            </w:r>
          </w:p>
          <w:p w14:paraId="6A6262C0">
            <w:pPr>
              <w:widowControl/>
              <w:wordWrap w:val="0"/>
              <w:jc w:val="left"/>
              <w:rPr>
                <w:rFonts w:ascii="宋体" w:hAnsi="宋体" w:eastAsia="宋体" w:cs="宋体"/>
                <w:kern w:val="0"/>
                <w:sz w:val="24"/>
                <w:szCs w:val="24"/>
              </w:rPr>
            </w:pPr>
            <w:r>
              <w:rPr>
                <w:rFonts w:hint="eastAsia" w:ascii="宋体" w:hAnsi="宋体" w:eastAsia="宋体" w:cs="宋体"/>
                <w:kern w:val="0"/>
                <w:sz w:val="24"/>
                <w:szCs w:val="24"/>
              </w:rPr>
              <w:t>（2）若出现中标候选人并列情形，则按照下列方式确定中标人：</w:t>
            </w:r>
          </w:p>
          <w:p w14:paraId="1FFC93D7">
            <w:pPr>
              <w:widowControl/>
              <w:wordWrap w:val="0"/>
              <w:jc w:val="left"/>
              <w:rPr>
                <w:rFonts w:ascii="宋体" w:hAnsi="宋体" w:eastAsia="宋体" w:cs="宋体"/>
                <w:kern w:val="0"/>
                <w:sz w:val="24"/>
                <w:szCs w:val="24"/>
              </w:rPr>
            </w:pPr>
            <w:r>
              <w:rPr>
                <w:rFonts w:hint="eastAsia" w:ascii="宋体" w:hAnsi="宋体" w:eastAsia="宋体" w:cs="宋体"/>
                <w:kern w:val="0"/>
                <w:sz w:val="24"/>
                <w:szCs w:val="24"/>
              </w:rPr>
              <w:t>①招标文件规定的方式：</w:t>
            </w:r>
            <w:r>
              <w:rPr>
                <w:rFonts w:ascii="宋体" w:hAnsi="宋体" w:eastAsia="宋体" w:cs="宋体"/>
                <w:kern w:val="0"/>
                <w:sz w:val="24"/>
                <w:szCs w:val="24"/>
              </w:rPr>
              <w:t>a.按照评标总得分由高到低顺序排列。 b.评标总得分相同的，按照投标报价由低到高顺序排列。 c.评标总得分且投标报价相同的，按照技术指标优劣（即F2项的得分高低）顺序排列。 d.其他：若以上全部相同则随机抽取。。</w:t>
            </w:r>
            <w:r>
              <w:rPr>
                <w:rFonts w:hint="eastAsia" w:ascii="宋体" w:hAnsi="宋体" w:eastAsia="宋体" w:cs="宋体"/>
                <w:kern w:val="0"/>
                <w:sz w:val="24"/>
                <w:szCs w:val="24"/>
              </w:rPr>
              <w:t>。</w:t>
            </w:r>
          </w:p>
          <w:p w14:paraId="3CF72638">
            <w:pPr>
              <w:widowControl/>
              <w:wordWrap w:val="0"/>
              <w:jc w:val="left"/>
              <w:rPr>
                <w:rFonts w:ascii="宋体" w:hAnsi="宋体" w:eastAsia="宋体" w:cs="宋体"/>
                <w:kern w:val="0"/>
                <w:sz w:val="24"/>
                <w:szCs w:val="24"/>
              </w:rPr>
            </w:pPr>
            <w:r>
              <w:rPr>
                <w:rFonts w:hint="eastAsia" w:ascii="宋体" w:hAnsi="宋体" w:eastAsia="宋体" w:cs="宋体"/>
                <w:kern w:val="0"/>
                <w:sz w:val="24"/>
                <w:szCs w:val="24"/>
              </w:rPr>
              <w:t>②若本款第①点规定方式为“无”，则按照下列方式确定：无。。</w:t>
            </w:r>
          </w:p>
          <w:p w14:paraId="4EB2F5E7">
            <w:pPr>
              <w:widowControl/>
              <w:wordWrap w:val="0"/>
              <w:jc w:val="left"/>
              <w:rPr>
                <w:rFonts w:ascii="宋体" w:hAnsi="宋体" w:eastAsia="宋体" w:cs="宋体"/>
                <w:kern w:val="0"/>
                <w:sz w:val="24"/>
                <w:szCs w:val="24"/>
              </w:rPr>
            </w:pPr>
            <w:r>
              <w:rPr>
                <w:rFonts w:hint="eastAsia" w:ascii="宋体" w:hAnsi="宋体" w:eastAsia="宋体" w:cs="宋体"/>
                <w:kern w:val="0"/>
                <w:sz w:val="24"/>
                <w:szCs w:val="24"/>
              </w:rPr>
              <w:t>③若本款第①、②点规定方式均为“无”，则按照下列方式确定：随机抽取。</w:t>
            </w:r>
          </w:p>
          <w:p w14:paraId="0510BDEA">
            <w:pPr>
              <w:widowControl/>
              <w:wordWrap w:val="0"/>
              <w:jc w:val="left"/>
              <w:rPr>
                <w:rFonts w:ascii="宋体" w:hAnsi="宋体" w:eastAsia="宋体" w:cs="宋体"/>
                <w:kern w:val="0"/>
                <w:sz w:val="24"/>
                <w:szCs w:val="24"/>
              </w:rPr>
            </w:pPr>
            <w:r>
              <w:rPr>
                <w:rFonts w:hint="eastAsia" w:ascii="宋体" w:hAnsi="宋体" w:eastAsia="宋体" w:cs="宋体"/>
                <w:kern w:val="0"/>
                <w:sz w:val="24"/>
                <w:szCs w:val="24"/>
              </w:rPr>
              <w:t>（3）本项目确定的中标人家数：本项目确定项目包1中标人数为1家；</w:t>
            </w:r>
          </w:p>
        </w:tc>
      </w:tr>
      <w:tr w14:paraId="710B1F4D">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14:paraId="27DED03C">
            <w:pPr>
              <w:widowControl/>
              <w:wordWrap w:val="0"/>
              <w:jc w:val="left"/>
              <w:rPr>
                <w:rFonts w:ascii="宋体" w:hAnsi="宋体" w:eastAsia="宋体" w:cs="宋体"/>
                <w:kern w:val="0"/>
                <w:sz w:val="24"/>
                <w:szCs w:val="24"/>
              </w:rPr>
            </w:pPr>
            <w:r>
              <w:rPr>
                <w:rFonts w:hint="eastAsia" w:ascii="宋体" w:hAnsi="宋体" w:eastAsia="宋体" w:cs="宋体"/>
                <w:kern w:val="0"/>
                <w:sz w:val="24"/>
                <w:szCs w:val="24"/>
              </w:rPr>
              <w:t>7</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14:paraId="50090A96">
            <w:pPr>
              <w:widowControl/>
              <w:wordWrap w:val="0"/>
              <w:jc w:val="left"/>
              <w:rPr>
                <w:rFonts w:ascii="宋体" w:hAnsi="宋体" w:eastAsia="宋体" w:cs="宋体"/>
                <w:kern w:val="0"/>
                <w:sz w:val="24"/>
                <w:szCs w:val="24"/>
              </w:rPr>
            </w:pPr>
            <w:r>
              <w:rPr>
                <w:rFonts w:hint="eastAsia" w:ascii="宋体" w:hAnsi="宋体" w:eastAsia="宋体" w:cs="宋体"/>
                <w:kern w:val="0"/>
                <w:sz w:val="24"/>
                <w:szCs w:val="24"/>
              </w:rPr>
              <w:t>13.2</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14:paraId="23B73512">
            <w:pPr>
              <w:widowControl/>
              <w:wordWrap w:val="0"/>
              <w:jc w:val="left"/>
              <w:rPr>
                <w:rFonts w:ascii="宋体" w:hAnsi="宋体" w:eastAsia="宋体" w:cs="宋体"/>
                <w:kern w:val="0"/>
                <w:sz w:val="24"/>
                <w:szCs w:val="24"/>
              </w:rPr>
            </w:pPr>
            <w:r>
              <w:rPr>
                <w:rFonts w:hint="eastAsia" w:ascii="宋体" w:hAnsi="宋体" w:eastAsia="宋体" w:cs="宋体"/>
                <w:b/>
                <w:bCs/>
                <w:kern w:val="0"/>
                <w:sz w:val="24"/>
                <w:szCs w:val="24"/>
              </w:rPr>
              <w:t>合同签订时限：</w:t>
            </w:r>
            <w:r>
              <w:rPr>
                <w:rFonts w:ascii="宋体" w:hAnsi="宋体" w:eastAsia="宋体" w:cs="宋体"/>
                <w:kern w:val="0"/>
                <w:sz w:val="24"/>
                <w:szCs w:val="24"/>
              </w:rPr>
              <w:t>自中标通知书发出之日起30个日历日内。</w:t>
            </w:r>
          </w:p>
        </w:tc>
      </w:tr>
      <w:tr w14:paraId="36C9ECB1">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6024DCD9">
            <w:pPr>
              <w:widowControl/>
              <w:wordWrap w:val="0"/>
              <w:jc w:val="center"/>
              <w:rPr>
                <w:rFonts w:ascii="宋体" w:hAnsi="宋体" w:eastAsia="宋体" w:cs="宋体"/>
                <w:kern w:val="0"/>
                <w:sz w:val="24"/>
                <w:szCs w:val="24"/>
              </w:rPr>
            </w:pPr>
            <w:r>
              <w:rPr>
                <w:rFonts w:hint="eastAsia" w:ascii="宋体" w:hAnsi="宋体" w:eastAsia="宋体" w:cs="宋体"/>
                <w:kern w:val="0"/>
                <w:sz w:val="24"/>
                <w:szCs w:val="24"/>
              </w:rPr>
              <w:t>8</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2F05F7A">
            <w:pPr>
              <w:widowControl/>
              <w:jc w:val="left"/>
              <w:rPr>
                <w:rFonts w:ascii="宋体" w:hAnsi="宋体" w:eastAsia="宋体" w:cs="宋体"/>
                <w:kern w:val="0"/>
                <w:sz w:val="24"/>
                <w:szCs w:val="24"/>
              </w:rPr>
            </w:pPr>
            <w:r>
              <w:rPr>
                <w:rFonts w:hint="eastAsia" w:ascii="宋体" w:hAnsi="宋体" w:eastAsia="宋体" w:cs="宋体"/>
                <w:kern w:val="0"/>
                <w:sz w:val="24"/>
                <w:szCs w:val="24"/>
              </w:rPr>
              <w:t> 15.1-（</w:t>
            </w:r>
            <w:r>
              <w:rPr>
                <w:rFonts w:ascii="Times New Roman" w:hAnsi="Times New Roman" w:eastAsia="宋体" w:cs="Times New Roman"/>
                <w:kern w:val="0"/>
                <w:sz w:val="24"/>
                <w:szCs w:val="24"/>
              </w:rPr>
              <w:t>2</w:t>
            </w:r>
            <w:r>
              <w:rPr>
                <w:rFonts w:hint="eastAsia" w:ascii="宋体" w:hAnsi="宋体" w:eastAsia="宋体" w:cs="宋体"/>
                <w:kern w:val="0"/>
                <w:sz w:val="24"/>
                <w:szCs w:val="24"/>
              </w:rPr>
              <w:t>）</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4FDF65B">
            <w:pPr>
              <w:widowControl/>
              <w:wordWrap w:val="0"/>
              <w:jc w:val="left"/>
              <w:rPr>
                <w:rFonts w:ascii="宋体" w:hAnsi="宋体" w:eastAsia="宋体" w:cs="宋体"/>
                <w:kern w:val="0"/>
                <w:sz w:val="24"/>
                <w:szCs w:val="24"/>
              </w:rPr>
            </w:pPr>
            <w:r>
              <w:rPr>
                <w:rFonts w:hint="eastAsia" w:ascii="宋体" w:hAnsi="宋体" w:eastAsia="宋体" w:cs="宋体"/>
                <w:b/>
                <w:bCs/>
                <w:kern w:val="0"/>
                <w:sz w:val="24"/>
                <w:szCs w:val="24"/>
              </w:rPr>
              <w:t>质疑函原件应采用下列方式提交：</w:t>
            </w:r>
            <w:r>
              <w:rPr>
                <w:rFonts w:hint="eastAsia" w:ascii="宋体" w:hAnsi="宋体" w:eastAsia="宋体" w:cs="宋体"/>
                <w:kern w:val="0"/>
                <w:sz w:val="24"/>
                <w:szCs w:val="24"/>
              </w:rPr>
              <w:t>书面形式。</w:t>
            </w:r>
          </w:p>
        </w:tc>
      </w:tr>
      <w:tr w14:paraId="7B089D17">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147D3359">
            <w:pPr>
              <w:widowControl/>
              <w:wordWrap w:val="0"/>
              <w:jc w:val="center"/>
              <w:rPr>
                <w:rFonts w:ascii="宋体" w:hAnsi="宋体" w:eastAsia="宋体" w:cs="宋体"/>
                <w:kern w:val="0"/>
                <w:sz w:val="24"/>
                <w:szCs w:val="24"/>
              </w:rPr>
            </w:pPr>
            <w:r>
              <w:rPr>
                <w:rFonts w:hint="eastAsia" w:ascii="宋体" w:hAnsi="宋体" w:eastAsia="宋体" w:cs="宋体"/>
                <w:kern w:val="0"/>
                <w:sz w:val="24"/>
                <w:szCs w:val="24"/>
              </w:rPr>
              <w:t>9</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78E325E">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p w14:paraId="63E4B9BF">
            <w:pPr>
              <w:widowControl/>
              <w:jc w:val="left"/>
              <w:rPr>
                <w:rFonts w:ascii="宋体" w:hAnsi="宋体" w:eastAsia="宋体" w:cs="宋体"/>
                <w:kern w:val="0"/>
                <w:sz w:val="24"/>
                <w:szCs w:val="24"/>
              </w:rPr>
            </w:pPr>
            <w:r>
              <w:rPr>
                <w:rFonts w:hint="eastAsia" w:ascii="宋体" w:hAnsi="宋体" w:eastAsia="宋体" w:cs="宋体"/>
                <w:kern w:val="0"/>
                <w:sz w:val="24"/>
                <w:szCs w:val="24"/>
              </w:rPr>
              <w:t>   15.4</w:t>
            </w:r>
          </w:p>
          <w:p w14:paraId="72262A50">
            <w:pPr>
              <w:widowControl/>
              <w:jc w:val="left"/>
              <w:rPr>
                <w:rFonts w:ascii="宋体" w:hAnsi="宋体" w:eastAsia="宋体" w:cs="宋体"/>
                <w:kern w:val="0"/>
                <w:sz w:val="24"/>
                <w:szCs w:val="24"/>
              </w:rPr>
            </w:pPr>
            <w:r>
              <w:rPr>
                <w:rFonts w:ascii="Calibri" w:hAnsi="Calibri" w:eastAsia="宋体" w:cs="Calibri"/>
                <w:kern w:val="0"/>
                <w:sz w:val="24"/>
                <w:szCs w:val="24"/>
              </w:rPr>
              <w:t> </w:t>
            </w:r>
          </w:p>
          <w:p w14:paraId="29061BCA">
            <w:pPr>
              <w:widowControl/>
              <w:jc w:val="center"/>
              <w:rPr>
                <w:rFonts w:ascii="宋体" w:hAnsi="宋体" w:eastAsia="宋体" w:cs="宋体"/>
                <w:kern w:val="0"/>
                <w:sz w:val="24"/>
                <w:szCs w:val="24"/>
              </w:rPr>
            </w:pPr>
            <w:r>
              <w:rPr>
                <w:rFonts w:ascii="Calibri" w:hAnsi="Calibri" w:eastAsia="宋体" w:cs="Calibri"/>
                <w:kern w:val="0"/>
                <w:sz w:val="24"/>
                <w:szCs w:val="24"/>
              </w:rPr>
              <w:t> </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97245C6">
            <w:pPr>
              <w:widowControl/>
              <w:wordWrap w:val="0"/>
              <w:jc w:val="left"/>
              <w:rPr>
                <w:rFonts w:ascii="宋体" w:hAnsi="宋体" w:eastAsia="宋体" w:cs="宋体"/>
                <w:kern w:val="0"/>
                <w:sz w:val="24"/>
                <w:szCs w:val="24"/>
              </w:rPr>
            </w:pPr>
            <w:r>
              <w:rPr>
                <w:rFonts w:hint="eastAsia" w:ascii="宋体" w:hAnsi="宋体" w:eastAsia="宋体" w:cs="宋体"/>
                <w:b/>
                <w:bCs/>
                <w:kern w:val="0"/>
                <w:sz w:val="24"/>
                <w:szCs w:val="24"/>
              </w:rPr>
              <w:t>招标文件的质疑</w:t>
            </w:r>
          </w:p>
          <w:p w14:paraId="565A6FA3">
            <w:pPr>
              <w:widowControl/>
              <w:wordWrap w:val="0"/>
              <w:jc w:val="left"/>
              <w:rPr>
                <w:rFonts w:ascii="宋体" w:hAnsi="宋体" w:eastAsia="宋体" w:cs="宋体"/>
                <w:kern w:val="0"/>
                <w:sz w:val="24"/>
                <w:szCs w:val="24"/>
              </w:rPr>
            </w:pPr>
            <w:r>
              <w:rPr>
                <w:rFonts w:hint="eastAsia" w:ascii="宋体" w:hAnsi="宋体" w:eastAsia="宋体" w:cs="宋体"/>
                <w:kern w:val="0"/>
                <w:sz w:val="24"/>
                <w:szCs w:val="24"/>
              </w:rPr>
              <w:t>（1）潜在投标人可在质疑时效期间内对招标文件以书面形式提出质疑。</w:t>
            </w:r>
          </w:p>
          <w:p w14:paraId="4817A59A">
            <w:pPr>
              <w:widowControl/>
              <w:wordWrap w:val="0"/>
              <w:jc w:val="left"/>
              <w:rPr>
                <w:rFonts w:ascii="宋体" w:hAnsi="宋体" w:eastAsia="宋体" w:cs="宋体"/>
                <w:kern w:val="0"/>
                <w:sz w:val="24"/>
                <w:szCs w:val="24"/>
              </w:rPr>
            </w:pPr>
            <w:r>
              <w:rPr>
                <w:rFonts w:hint="eastAsia" w:ascii="宋体" w:hAnsi="宋体" w:eastAsia="宋体" w:cs="宋体"/>
                <w:kern w:val="0"/>
                <w:sz w:val="24"/>
                <w:szCs w:val="24"/>
              </w:rPr>
              <w:t>（2）质疑时效期间：应在依法获取招标文件之日起7个工作日内向福建昇华工程造价咨询有限公司提出，依法获取招标文件的时间以福建省政府采购网上公开信息系统记载的为准。</w:t>
            </w:r>
          </w:p>
          <w:p w14:paraId="6BC078F7">
            <w:pPr>
              <w:widowControl/>
              <w:wordWrap w:val="0"/>
              <w:jc w:val="left"/>
              <w:rPr>
                <w:rFonts w:ascii="宋体" w:hAnsi="宋体" w:eastAsia="宋体" w:cs="宋体"/>
                <w:kern w:val="0"/>
                <w:sz w:val="24"/>
                <w:szCs w:val="24"/>
              </w:rPr>
            </w:pPr>
            <w:r>
              <w:rPr>
                <w:rFonts w:hint="eastAsia" w:ascii="宋体" w:hAnsi="宋体" w:eastAsia="宋体" w:cs="宋体"/>
                <w:b/>
                <w:bCs/>
                <w:kern w:val="0"/>
                <w:sz w:val="24"/>
                <w:szCs w:val="24"/>
              </w:rPr>
              <w:t>※除上述规定外，对招标文件提出的质疑还应符合招标文件第三章第</w:t>
            </w:r>
            <w:r>
              <w:rPr>
                <w:rFonts w:ascii="Times New Roman" w:hAnsi="Times New Roman" w:eastAsia="宋体" w:cs="Times New Roman"/>
                <w:b/>
                <w:bCs/>
                <w:kern w:val="0"/>
                <w:sz w:val="24"/>
                <w:szCs w:val="24"/>
              </w:rPr>
              <w:t>15.1</w:t>
            </w:r>
            <w:r>
              <w:rPr>
                <w:rFonts w:hint="eastAsia" w:ascii="宋体" w:hAnsi="宋体" w:eastAsia="宋体" w:cs="宋体"/>
                <w:b/>
                <w:bCs/>
                <w:kern w:val="0"/>
                <w:sz w:val="24"/>
                <w:szCs w:val="24"/>
              </w:rPr>
              <w:t>条的有关规定。</w:t>
            </w:r>
          </w:p>
        </w:tc>
      </w:tr>
      <w:tr w14:paraId="5CAEFC59">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516A1F6E">
            <w:pPr>
              <w:widowControl/>
              <w:wordWrap w:val="0"/>
              <w:jc w:val="center"/>
              <w:rPr>
                <w:rFonts w:ascii="宋体" w:hAnsi="宋体" w:eastAsia="宋体" w:cs="宋体"/>
                <w:kern w:val="0"/>
                <w:sz w:val="24"/>
                <w:szCs w:val="24"/>
              </w:rPr>
            </w:pPr>
            <w:r>
              <w:rPr>
                <w:rFonts w:hint="eastAsia" w:ascii="宋体" w:hAnsi="宋体" w:eastAsia="宋体" w:cs="宋体"/>
                <w:kern w:val="0"/>
                <w:sz w:val="24"/>
                <w:szCs w:val="24"/>
              </w:rPr>
              <w:t>10</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FB5718B">
            <w:pPr>
              <w:widowControl/>
              <w:jc w:val="center"/>
              <w:rPr>
                <w:rFonts w:ascii="宋体" w:hAnsi="宋体" w:eastAsia="宋体" w:cs="宋体"/>
                <w:kern w:val="0"/>
                <w:sz w:val="24"/>
                <w:szCs w:val="24"/>
              </w:rPr>
            </w:pPr>
            <w:r>
              <w:rPr>
                <w:rFonts w:hint="eastAsia" w:ascii="宋体" w:hAnsi="宋体" w:eastAsia="宋体" w:cs="宋体"/>
                <w:kern w:val="0"/>
                <w:sz w:val="24"/>
                <w:szCs w:val="24"/>
              </w:rPr>
              <w:t>16.1</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245814A">
            <w:pPr>
              <w:widowControl/>
              <w:jc w:val="left"/>
              <w:rPr>
                <w:rFonts w:ascii="宋体" w:hAnsi="宋体" w:eastAsia="宋体" w:cs="宋体"/>
                <w:kern w:val="0"/>
                <w:sz w:val="24"/>
                <w:szCs w:val="24"/>
              </w:rPr>
            </w:pPr>
            <w:r>
              <w:rPr>
                <w:rFonts w:hint="eastAsia" w:ascii="宋体" w:hAnsi="宋体" w:eastAsia="宋体" w:cs="宋体"/>
                <w:b/>
                <w:bCs/>
                <w:kern w:val="0"/>
                <w:sz w:val="24"/>
                <w:szCs w:val="24"/>
              </w:rPr>
              <w:t>监督管理部门：</w:t>
            </w:r>
            <w:r>
              <w:rPr>
                <w:rFonts w:hint="eastAsia" w:ascii="宋体" w:hAnsi="宋体" w:eastAsia="宋体" w:cs="宋体"/>
                <w:kern w:val="0"/>
                <w:sz w:val="24"/>
                <w:szCs w:val="24"/>
              </w:rPr>
              <w:t>福建省财政厅</w:t>
            </w:r>
            <w:r>
              <w:rPr>
                <w:rFonts w:hint="eastAsia" w:ascii="宋体" w:hAnsi="宋体" w:eastAsia="宋体" w:cs="宋体"/>
                <w:b/>
                <w:bCs/>
                <w:kern w:val="0"/>
                <w:sz w:val="24"/>
                <w:szCs w:val="24"/>
              </w:rPr>
              <w:t>（仅限依法进行政府采购的货物或服务类项目）</w:t>
            </w:r>
            <w:r>
              <w:rPr>
                <w:rFonts w:hint="eastAsia" w:ascii="宋体" w:hAnsi="宋体" w:eastAsia="宋体" w:cs="宋体"/>
                <w:kern w:val="0"/>
                <w:sz w:val="24"/>
                <w:szCs w:val="24"/>
              </w:rPr>
              <w:t>。</w:t>
            </w:r>
          </w:p>
        </w:tc>
      </w:tr>
      <w:tr w14:paraId="75F8FDBB">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33DC25B8">
            <w:pPr>
              <w:widowControl/>
              <w:wordWrap w:val="0"/>
              <w:jc w:val="center"/>
              <w:rPr>
                <w:rFonts w:ascii="宋体" w:hAnsi="宋体" w:eastAsia="宋体" w:cs="宋体"/>
                <w:kern w:val="0"/>
                <w:sz w:val="24"/>
                <w:szCs w:val="24"/>
              </w:rPr>
            </w:pPr>
            <w:r>
              <w:rPr>
                <w:rFonts w:hint="eastAsia" w:ascii="宋体" w:hAnsi="宋体" w:eastAsia="宋体" w:cs="宋体"/>
                <w:kern w:val="0"/>
                <w:sz w:val="24"/>
                <w:szCs w:val="24"/>
              </w:rPr>
              <w:t>11</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DD1DCB0">
            <w:pPr>
              <w:widowControl/>
              <w:jc w:val="center"/>
              <w:rPr>
                <w:rFonts w:ascii="宋体" w:hAnsi="宋体" w:eastAsia="宋体" w:cs="宋体"/>
                <w:kern w:val="0"/>
                <w:sz w:val="24"/>
                <w:szCs w:val="24"/>
              </w:rPr>
            </w:pPr>
            <w:r>
              <w:rPr>
                <w:rFonts w:hint="eastAsia" w:ascii="宋体" w:hAnsi="宋体" w:eastAsia="宋体" w:cs="宋体"/>
                <w:kern w:val="0"/>
                <w:sz w:val="24"/>
                <w:szCs w:val="24"/>
              </w:rPr>
              <w:t>18.1</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274A365">
            <w:pPr>
              <w:widowControl/>
              <w:wordWrap w:val="0"/>
              <w:jc w:val="left"/>
              <w:rPr>
                <w:rFonts w:ascii="宋体" w:hAnsi="宋体" w:eastAsia="宋体" w:cs="宋体"/>
                <w:kern w:val="0"/>
                <w:sz w:val="24"/>
                <w:szCs w:val="24"/>
              </w:rPr>
            </w:pPr>
            <w:r>
              <w:rPr>
                <w:rFonts w:hint="eastAsia" w:ascii="宋体" w:hAnsi="宋体" w:eastAsia="宋体" w:cs="宋体"/>
                <w:b/>
                <w:bCs/>
                <w:kern w:val="0"/>
                <w:sz w:val="24"/>
                <w:szCs w:val="24"/>
              </w:rPr>
              <w:t>财政部和福建省财政厅指定的政府采购信息发布媒体（以下简称：“指定媒体”）：</w:t>
            </w:r>
          </w:p>
          <w:p w14:paraId="1E722806">
            <w:pPr>
              <w:widowControl/>
              <w:wordWrap w:val="0"/>
              <w:jc w:val="left"/>
              <w:rPr>
                <w:rFonts w:ascii="宋体" w:hAnsi="宋体" w:eastAsia="宋体" w:cs="宋体"/>
                <w:kern w:val="0"/>
                <w:sz w:val="24"/>
                <w:szCs w:val="24"/>
              </w:rPr>
            </w:pPr>
            <w:r>
              <w:rPr>
                <w:rFonts w:hint="eastAsia" w:ascii="宋体" w:hAnsi="宋体" w:eastAsia="宋体" w:cs="宋体"/>
                <w:kern w:val="0"/>
                <w:sz w:val="24"/>
                <w:szCs w:val="24"/>
              </w:rPr>
              <w:t>（1）中国政府采购网，网址www.ccgp.gov.cn</w:t>
            </w:r>
            <w:r>
              <w:rPr>
                <w:rFonts w:ascii="宋体" w:hAnsi="宋体" w:eastAsia="宋体" w:cs="宋体"/>
                <w:kern w:val="0"/>
                <w:sz w:val="24"/>
                <w:szCs w:val="24"/>
              </w:rPr>
              <w:t>。</w:t>
            </w:r>
          </w:p>
          <w:p w14:paraId="372339D9">
            <w:pPr>
              <w:widowControl/>
              <w:wordWrap w:val="0"/>
              <w:jc w:val="left"/>
              <w:rPr>
                <w:rFonts w:ascii="宋体" w:hAnsi="宋体" w:eastAsia="宋体" w:cs="宋体"/>
                <w:kern w:val="0"/>
                <w:sz w:val="24"/>
                <w:szCs w:val="24"/>
              </w:rPr>
            </w:pPr>
            <w:r>
              <w:rPr>
                <w:rFonts w:hint="eastAsia" w:ascii="宋体" w:hAnsi="宋体" w:eastAsia="宋体" w:cs="宋体"/>
                <w:kern w:val="0"/>
                <w:sz w:val="24"/>
                <w:szCs w:val="24"/>
              </w:rPr>
              <w:t>（2）中国政府采购网福建分网（福建省政府采购网），网址zfcg.czt.fujian.gov.cn</w:t>
            </w:r>
            <w:r>
              <w:rPr>
                <w:rFonts w:ascii="宋体" w:hAnsi="宋体" w:eastAsia="宋体" w:cs="宋体"/>
                <w:kern w:val="0"/>
                <w:sz w:val="24"/>
                <w:szCs w:val="24"/>
              </w:rPr>
              <w:t>。</w:t>
            </w:r>
          </w:p>
          <w:p w14:paraId="18B6DD34">
            <w:pPr>
              <w:widowControl/>
              <w:wordWrap w:val="0"/>
              <w:jc w:val="left"/>
              <w:rPr>
                <w:rFonts w:ascii="宋体" w:hAnsi="宋体" w:eastAsia="宋体" w:cs="宋体"/>
                <w:kern w:val="0"/>
                <w:sz w:val="24"/>
                <w:szCs w:val="24"/>
              </w:rPr>
            </w:pPr>
            <w:r>
              <w:rPr>
                <w:rFonts w:hint="eastAsia" w:ascii="宋体" w:hAnsi="宋体" w:eastAsia="宋体" w:cs="宋体"/>
                <w:b/>
                <w:bCs/>
                <w:kern w:val="0"/>
                <w:sz w:val="24"/>
                <w:szCs w:val="24"/>
              </w:rPr>
              <w:t>※若出现上述指定媒体信息不一致情形，应以中国政府采购网福建分网（福建省政府采购网）发布的为准。</w:t>
            </w:r>
          </w:p>
        </w:tc>
      </w:tr>
      <w:tr w14:paraId="247E8ED4">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096E9CB2">
            <w:pPr>
              <w:widowControl/>
              <w:wordWrap w:val="0"/>
              <w:jc w:val="center"/>
              <w:rPr>
                <w:rFonts w:ascii="宋体" w:hAnsi="宋体" w:eastAsia="宋体" w:cs="宋体"/>
                <w:kern w:val="0"/>
                <w:sz w:val="24"/>
                <w:szCs w:val="24"/>
              </w:rPr>
            </w:pPr>
            <w:r>
              <w:rPr>
                <w:rFonts w:hint="eastAsia" w:ascii="宋体" w:hAnsi="宋体" w:eastAsia="宋体" w:cs="宋体"/>
                <w:kern w:val="0"/>
                <w:sz w:val="24"/>
                <w:szCs w:val="24"/>
              </w:rPr>
              <w:t>12</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97DA584">
            <w:pPr>
              <w:widowControl/>
              <w:jc w:val="center"/>
              <w:rPr>
                <w:rFonts w:ascii="宋体" w:hAnsi="宋体" w:eastAsia="宋体" w:cs="宋体"/>
                <w:kern w:val="0"/>
                <w:sz w:val="24"/>
                <w:szCs w:val="24"/>
              </w:rPr>
            </w:pPr>
            <w:r>
              <w:rPr>
                <w:rFonts w:hint="eastAsia" w:ascii="宋体" w:hAnsi="宋体" w:eastAsia="宋体" w:cs="宋体"/>
                <w:kern w:val="0"/>
                <w:sz w:val="24"/>
                <w:szCs w:val="24"/>
              </w:rPr>
              <w:t>19</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E8E7C55">
            <w:pPr>
              <w:widowControl/>
              <w:wordWrap w:val="0"/>
              <w:jc w:val="left"/>
              <w:rPr>
                <w:rFonts w:ascii="宋体" w:hAnsi="宋体" w:eastAsia="宋体" w:cs="宋体"/>
                <w:kern w:val="0"/>
                <w:sz w:val="24"/>
                <w:szCs w:val="24"/>
              </w:rPr>
            </w:pPr>
            <w:r>
              <w:rPr>
                <w:rFonts w:hint="eastAsia" w:ascii="宋体" w:hAnsi="宋体" w:eastAsia="宋体" w:cs="宋体"/>
                <w:b/>
                <w:bCs/>
                <w:kern w:val="0"/>
                <w:sz w:val="24"/>
                <w:szCs w:val="24"/>
              </w:rPr>
              <w:t>其他事项：</w:t>
            </w:r>
          </w:p>
          <w:p w14:paraId="79EEC2AC">
            <w:pPr>
              <w:widowControl/>
              <w:wordWrap w:val="0"/>
              <w:jc w:val="left"/>
              <w:rPr>
                <w:rFonts w:ascii="宋体" w:hAnsi="宋体" w:eastAsia="宋体" w:cs="宋体"/>
                <w:kern w:val="0"/>
                <w:sz w:val="24"/>
                <w:szCs w:val="24"/>
              </w:rPr>
            </w:pPr>
            <w:r>
              <w:rPr>
                <w:rFonts w:hint="eastAsia" w:ascii="宋体" w:hAnsi="宋体" w:eastAsia="宋体" w:cs="宋体"/>
                <w:b/>
                <w:bCs/>
                <w:kern w:val="0"/>
                <w:sz w:val="24"/>
                <w:szCs w:val="24"/>
              </w:rPr>
              <w:t>(1)本项目代理服务费由中标人支付。</w:t>
            </w:r>
            <w:r>
              <w:rPr>
                <w:rFonts w:hint="eastAsia" w:ascii="宋体" w:hAnsi="宋体" w:eastAsia="宋体" w:cs="宋体"/>
                <w:b/>
                <w:bCs/>
                <w:kern w:val="0"/>
                <w:sz w:val="24"/>
                <w:szCs w:val="24"/>
              </w:rPr>
              <w:br w:type="textWrapping"/>
            </w:r>
            <w:r>
              <w:rPr>
                <w:rFonts w:hint="eastAsia" w:ascii="宋体" w:hAnsi="宋体" w:eastAsia="宋体" w:cs="宋体"/>
                <w:b/>
                <w:bCs/>
                <w:kern w:val="0"/>
                <w:sz w:val="24"/>
                <w:szCs w:val="24"/>
              </w:rPr>
              <w:t>(2)其他：(一)关于服务费的要求：1.收费标准以合同包的中标总金额为准，按差额定率累进法计取，具体按以下标准计取：（0，100]万元 1.50%；（100，500]万元 1.1%；（500，1000]万元0.8%；（1000，5000]万元0.5%。2.招标代理服务费由中标人在领取中标通知书的同时，以转账、电汇、现金存款等付款方式一次性缴清。3.招标代理服务费专用账号：351008010010141002762；开户名称：福建昇华工程造价咨询有限公司；开户行：交行福建省分行营业部。 (二)质疑受理的其它要求：在法定质疑期内质疑人须一次性提出针对同一采购程序环节的质疑，二（多）次质疑不予受理。质疑人递交质疑函时还应出具质疑人福建省政府采购网上公开信息系统上获取招标文件的证明文件（体现查看时间或获取招标文件时间）。查看时间或获取招标文件时间以福建省政府采购网上公开信息系统记载为准。(三)根据《福建省财政厅关于运用政府采购政策促进中小企业发展的通知》要求，因疫情影响享受缓缴或免缴社保、税款的企业，无法提供相关社保、税收缴纳证明材料的，提供有关情况说明视同社保、税收缴纳证明材料提交完整。(四)上述预算金额即最高限价。</w:t>
            </w:r>
          </w:p>
        </w:tc>
      </w:tr>
      <w:tr w14:paraId="2CCA661F">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0" w:type="auto"/>
            <w:gridSpan w:val="2"/>
            <w:tcBorders>
              <w:top w:val="nil"/>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F0EE1F5">
            <w:pPr>
              <w:widowControl/>
              <w:jc w:val="left"/>
              <w:rPr>
                <w:rFonts w:ascii="宋体" w:hAnsi="宋体" w:eastAsia="宋体" w:cs="宋体"/>
                <w:kern w:val="0"/>
                <w:sz w:val="24"/>
                <w:szCs w:val="24"/>
              </w:rPr>
            </w:pPr>
            <w:r>
              <w:rPr>
                <w:rFonts w:hint="eastAsia" w:ascii="宋体" w:hAnsi="宋体" w:eastAsia="宋体" w:cs="宋体"/>
                <w:kern w:val="0"/>
                <w:sz w:val="24"/>
                <w:szCs w:val="24"/>
              </w:rPr>
              <w:t>     备注</w:t>
            </w:r>
          </w:p>
        </w:tc>
        <w:tc>
          <w:tcPr>
            <w:tcW w:w="0" w:type="auto"/>
            <w:tcBorders>
              <w:top w:val="nil"/>
              <w:left w:val="nil"/>
              <w:bottom w:val="single" w:color="000000" w:sz="6" w:space="0"/>
              <w:right w:val="single" w:color="000000" w:sz="6" w:space="0"/>
            </w:tcBorders>
            <w:shd w:val="clear" w:color="auto" w:fill="FFFFFF"/>
            <w:tcMar>
              <w:top w:w="75" w:type="dxa"/>
              <w:left w:w="150" w:type="dxa"/>
              <w:bottom w:w="75" w:type="dxa"/>
              <w:right w:w="150" w:type="dxa"/>
            </w:tcMar>
            <w:vAlign w:val="center"/>
          </w:tcPr>
          <w:p w14:paraId="20EDDC00">
            <w:pPr>
              <w:widowControl/>
              <w:wordWrap w:val="0"/>
              <w:jc w:val="left"/>
              <w:rPr>
                <w:rFonts w:ascii="宋体" w:hAnsi="宋体" w:eastAsia="宋体" w:cs="宋体"/>
                <w:kern w:val="0"/>
                <w:sz w:val="24"/>
                <w:szCs w:val="24"/>
              </w:rPr>
            </w:pPr>
            <w:r>
              <w:rPr>
                <w:rFonts w:hint="eastAsia" w:ascii="宋体" w:hAnsi="宋体" w:eastAsia="宋体" w:cs="宋体"/>
                <w:b/>
                <w:bCs/>
                <w:kern w:val="0"/>
                <w:sz w:val="24"/>
                <w:szCs w:val="24"/>
              </w:rPr>
              <w:t>后有投标人须知前附表</w:t>
            </w:r>
            <w:r>
              <w:rPr>
                <w:rFonts w:ascii="Times New Roman" w:hAnsi="Times New Roman" w:eastAsia="宋体" w:cs="Times New Roman"/>
                <w:b/>
                <w:bCs/>
                <w:kern w:val="0"/>
                <w:sz w:val="24"/>
                <w:szCs w:val="24"/>
              </w:rPr>
              <w:t>2</w:t>
            </w:r>
            <w:r>
              <w:rPr>
                <w:rFonts w:hint="eastAsia" w:ascii="宋体" w:hAnsi="宋体" w:eastAsia="宋体" w:cs="宋体"/>
                <w:b/>
                <w:bCs/>
                <w:kern w:val="0"/>
                <w:sz w:val="24"/>
                <w:szCs w:val="24"/>
              </w:rPr>
              <w:t>，请勿遗漏。</w:t>
            </w:r>
          </w:p>
        </w:tc>
      </w:tr>
    </w:tbl>
    <w:p w14:paraId="678E2289">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14:paraId="6325E67A">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14:paraId="5E2589C6">
      <w:pPr>
        <w:widowControl/>
        <w:spacing w:before="75" w:after="75"/>
        <w:jc w:val="center"/>
        <w:rPr>
          <w:rFonts w:ascii="宋体" w:hAnsi="宋体" w:eastAsia="宋体" w:cs="宋体"/>
          <w:kern w:val="0"/>
          <w:sz w:val="24"/>
          <w:szCs w:val="24"/>
        </w:rPr>
      </w:pPr>
      <w:r>
        <w:rPr>
          <w:rFonts w:hint="eastAsia" w:ascii="宋体" w:hAnsi="宋体" w:eastAsia="宋体" w:cs="宋体"/>
          <w:b/>
          <w:bCs/>
          <w:kern w:val="0"/>
          <w:sz w:val="24"/>
          <w:szCs w:val="24"/>
        </w:rPr>
        <w:t>二、投标人须知前附表2</w:t>
      </w:r>
      <w:r>
        <w:rPr>
          <w:rFonts w:hint="eastAsia" w:ascii="宋体" w:hAnsi="宋体" w:eastAsia="宋体" w:cs="宋体"/>
          <w:b/>
          <w:bCs/>
          <w:kern w:val="0"/>
          <w:sz w:val="24"/>
          <w:szCs w:val="24"/>
        </w:rPr>
        <w:br w:type="textWrapping"/>
      </w:r>
      <w:r>
        <w:rPr>
          <w:rFonts w:hint="eastAsia" w:ascii="宋体" w:hAnsi="宋体" w:eastAsia="宋体" w:cs="宋体"/>
          <w:b/>
          <w:bCs/>
          <w:kern w:val="0"/>
          <w:sz w:val="24"/>
          <w:szCs w:val="24"/>
        </w:rPr>
        <w:br w:type="textWrapping"/>
      </w:r>
    </w:p>
    <w:tbl>
      <w:tblPr>
        <w:tblStyle w:val="9"/>
        <w:tblW w:w="0" w:type="auto"/>
        <w:tblInd w:w="0" w:type="dxa"/>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472"/>
        <w:gridCol w:w="8044"/>
      </w:tblGrid>
      <w:tr w14:paraId="69531979">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PrEx>
        <w:tc>
          <w:tcPr>
            <w:tcW w:w="11115" w:type="dxa"/>
            <w:gridSpan w:val="2"/>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3E1D7615">
            <w:pPr>
              <w:widowControl/>
              <w:jc w:val="center"/>
              <w:rPr>
                <w:rFonts w:ascii="宋体" w:hAnsi="宋体" w:eastAsia="宋体" w:cs="宋体"/>
                <w:kern w:val="0"/>
                <w:sz w:val="24"/>
                <w:szCs w:val="24"/>
              </w:rPr>
            </w:pPr>
            <w:r>
              <w:rPr>
                <w:rFonts w:hint="eastAsia" w:ascii="宋体" w:hAnsi="宋体" w:eastAsia="宋体" w:cs="宋体"/>
                <w:b/>
                <w:bCs/>
                <w:kern w:val="0"/>
                <w:sz w:val="24"/>
                <w:szCs w:val="24"/>
              </w:rPr>
              <w:t>关于电子招标投标活动的专门规定</w:t>
            </w:r>
          </w:p>
        </w:tc>
      </w:tr>
      <w:tr w14:paraId="65722DAB">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48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7CF673C4">
            <w:pPr>
              <w:widowControl/>
              <w:jc w:val="center"/>
              <w:rPr>
                <w:rFonts w:ascii="宋体" w:hAnsi="宋体" w:eastAsia="宋体" w:cs="宋体"/>
                <w:kern w:val="0"/>
                <w:sz w:val="24"/>
                <w:szCs w:val="24"/>
              </w:rPr>
            </w:pPr>
            <w:r>
              <w:rPr>
                <w:rFonts w:hint="eastAsia" w:ascii="宋体" w:hAnsi="宋体" w:eastAsia="宋体" w:cs="宋体"/>
                <w:kern w:val="0"/>
                <w:sz w:val="24"/>
                <w:szCs w:val="24"/>
              </w:rPr>
              <w:t>序号</w:t>
            </w:r>
          </w:p>
        </w:tc>
        <w:tc>
          <w:tcPr>
            <w:tcW w:w="10635"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9E4FA31">
            <w:pPr>
              <w:widowControl/>
              <w:jc w:val="center"/>
              <w:rPr>
                <w:rFonts w:ascii="宋体" w:hAnsi="宋体" w:eastAsia="宋体" w:cs="宋体"/>
                <w:kern w:val="0"/>
                <w:sz w:val="24"/>
                <w:szCs w:val="24"/>
              </w:rPr>
            </w:pPr>
            <w:r>
              <w:rPr>
                <w:rFonts w:hint="eastAsia" w:ascii="宋体" w:hAnsi="宋体" w:eastAsia="宋体" w:cs="宋体"/>
                <w:kern w:val="0"/>
                <w:sz w:val="24"/>
                <w:szCs w:val="24"/>
              </w:rPr>
              <w:t>编列内容</w:t>
            </w:r>
          </w:p>
        </w:tc>
      </w:tr>
      <w:tr w14:paraId="6834CE34">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48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71160533">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063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2B92B2B">
            <w:pPr>
              <w:widowControl/>
              <w:wordWrap w:val="0"/>
              <w:jc w:val="left"/>
              <w:rPr>
                <w:rFonts w:ascii="宋体" w:hAnsi="宋体" w:eastAsia="宋体" w:cs="宋体"/>
                <w:kern w:val="0"/>
                <w:sz w:val="24"/>
                <w:szCs w:val="24"/>
              </w:rPr>
            </w:pPr>
            <w:r>
              <w:rPr>
                <w:rFonts w:hint="eastAsia" w:ascii="宋体" w:hAnsi="宋体" w:eastAsia="宋体" w:cs="宋体"/>
                <w:kern w:val="0"/>
                <w:sz w:val="24"/>
                <w:szCs w:val="24"/>
              </w:rPr>
              <w:t>（1）电子招标投标活动的专门规定适用本项目电子招标投标活动。</w:t>
            </w:r>
          </w:p>
          <w:p w14:paraId="5DFB89FA">
            <w:pPr>
              <w:widowControl/>
              <w:wordWrap w:val="0"/>
              <w:jc w:val="left"/>
              <w:rPr>
                <w:rFonts w:ascii="宋体" w:hAnsi="宋体" w:eastAsia="宋体" w:cs="宋体"/>
                <w:kern w:val="0"/>
                <w:sz w:val="24"/>
                <w:szCs w:val="24"/>
              </w:rPr>
            </w:pPr>
            <w:r>
              <w:rPr>
                <w:rFonts w:hint="eastAsia" w:ascii="宋体" w:hAnsi="宋体" w:eastAsia="宋体" w:cs="宋体"/>
                <w:kern w:val="0"/>
                <w:sz w:val="24"/>
                <w:szCs w:val="24"/>
              </w:rPr>
              <w:t>（2）将招标文件</w:t>
            </w:r>
            <w:r>
              <w:rPr>
                <w:rFonts w:hint="eastAsia" w:ascii="宋体" w:hAnsi="宋体" w:eastAsia="宋体" w:cs="宋体"/>
                <w:kern w:val="0"/>
                <w:sz w:val="24"/>
                <w:szCs w:val="24"/>
                <w:u w:val="single"/>
              </w:rPr>
              <w:t>无。</w:t>
            </w:r>
            <w:r>
              <w:rPr>
                <w:rFonts w:hint="eastAsia" w:ascii="宋体" w:hAnsi="宋体" w:eastAsia="宋体" w:cs="宋体"/>
                <w:kern w:val="0"/>
                <w:sz w:val="24"/>
                <w:szCs w:val="24"/>
              </w:rPr>
              <w:t>的内容</w:t>
            </w:r>
            <w:r>
              <w:rPr>
                <w:rFonts w:hint="eastAsia" w:ascii="宋体" w:hAnsi="宋体" w:eastAsia="宋体" w:cs="宋体"/>
                <w:b/>
                <w:bCs/>
                <w:kern w:val="0"/>
                <w:sz w:val="24"/>
                <w:szCs w:val="24"/>
              </w:rPr>
              <w:t>修正为</w:t>
            </w:r>
            <w:r>
              <w:rPr>
                <w:rFonts w:hint="eastAsia" w:ascii="宋体" w:hAnsi="宋体" w:eastAsia="宋体" w:cs="宋体"/>
                <w:kern w:val="0"/>
                <w:sz w:val="24"/>
                <w:szCs w:val="24"/>
              </w:rPr>
              <w:t>下列内容：</w:t>
            </w:r>
            <w:r>
              <w:rPr>
                <w:rFonts w:hint="eastAsia" w:ascii="宋体" w:hAnsi="宋体" w:eastAsia="宋体" w:cs="宋体"/>
                <w:kern w:val="0"/>
                <w:sz w:val="24"/>
                <w:szCs w:val="24"/>
                <w:u w:val="single"/>
              </w:rPr>
              <w:t>无。</w:t>
            </w:r>
            <w:r>
              <w:rPr>
                <w:rFonts w:hint="eastAsia" w:ascii="宋体" w:hAnsi="宋体" w:eastAsia="宋体" w:cs="宋体"/>
                <w:kern w:val="0"/>
                <w:sz w:val="24"/>
                <w:szCs w:val="24"/>
              </w:rPr>
              <w:t>后适用本项目的电子招标投标活动。</w:t>
            </w:r>
          </w:p>
          <w:p w14:paraId="505915DC">
            <w:pPr>
              <w:widowControl/>
              <w:wordWrap w:val="0"/>
              <w:jc w:val="left"/>
              <w:rPr>
                <w:rFonts w:ascii="宋体" w:hAnsi="宋体" w:eastAsia="宋体" w:cs="宋体"/>
                <w:kern w:val="0"/>
                <w:sz w:val="24"/>
                <w:szCs w:val="24"/>
              </w:rPr>
            </w:pPr>
            <w:r>
              <w:rPr>
                <w:rFonts w:hint="eastAsia" w:ascii="宋体" w:hAnsi="宋体" w:eastAsia="宋体" w:cs="宋体"/>
                <w:kern w:val="0"/>
                <w:sz w:val="24"/>
                <w:szCs w:val="24"/>
              </w:rPr>
              <w:t>（3）将下列内容</w:t>
            </w:r>
            <w:r>
              <w:rPr>
                <w:rFonts w:hint="eastAsia" w:ascii="宋体" w:hAnsi="宋体" w:eastAsia="宋体" w:cs="宋体"/>
                <w:b/>
                <w:bCs/>
                <w:kern w:val="0"/>
                <w:sz w:val="24"/>
                <w:szCs w:val="24"/>
              </w:rPr>
              <w:t>增列为</w:t>
            </w:r>
            <w:r>
              <w:rPr>
                <w:rFonts w:hint="eastAsia" w:ascii="宋体" w:hAnsi="宋体" w:eastAsia="宋体" w:cs="宋体"/>
                <w:kern w:val="0"/>
                <w:sz w:val="24"/>
                <w:szCs w:val="24"/>
              </w:rPr>
              <w:t>招标文件的组成部分（以下简称：“增列内容”）适用本项目的电子招标投标活动，若增列内容与招标文件其他章节内容有冲突，应以增列内容为准：</w:t>
            </w:r>
          </w:p>
          <w:p w14:paraId="06C3B559">
            <w:pPr>
              <w:widowControl/>
              <w:wordWrap w:val="0"/>
              <w:jc w:val="left"/>
              <w:rPr>
                <w:rFonts w:ascii="宋体" w:hAnsi="宋体" w:eastAsia="宋体" w:cs="宋体"/>
                <w:kern w:val="0"/>
                <w:sz w:val="24"/>
                <w:szCs w:val="24"/>
              </w:rPr>
            </w:pPr>
            <w:r>
              <w:rPr>
                <w:rFonts w:hint="eastAsia" w:ascii="宋体" w:hAnsi="宋体" w:eastAsia="宋体" w:cs="宋体"/>
                <w:kern w:val="0"/>
                <w:sz w:val="24"/>
                <w:szCs w:val="24"/>
              </w:rPr>
              <w:t>①电子招标投标活动的具体操作流程以福建省政府采购网上公开信息系统设定的为准。</w:t>
            </w:r>
          </w:p>
          <w:p w14:paraId="5AF866B6">
            <w:pPr>
              <w:widowControl/>
              <w:wordWrap w:val="0"/>
              <w:jc w:val="left"/>
              <w:rPr>
                <w:rFonts w:ascii="宋体" w:hAnsi="宋体" w:eastAsia="宋体" w:cs="宋体"/>
                <w:kern w:val="0"/>
                <w:sz w:val="24"/>
                <w:szCs w:val="24"/>
              </w:rPr>
            </w:pPr>
            <w:r>
              <w:rPr>
                <w:rFonts w:hint="eastAsia" w:ascii="宋体" w:hAnsi="宋体" w:eastAsia="宋体" w:cs="宋体"/>
                <w:kern w:val="0"/>
                <w:sz w:val="24"/>
                <w:szCs w:val="24"/>
              </w:rPr>
              <w:t>②关于投标文件：</w:t>
            </w:r>
          </w:p>
          <w:p w14:paraId="2978551D">
            <w:pPr>
              <w:widowControl/>
              <w:wordWrap w:val="0"/>
              <w:jc w:val="left"/>
              <w:rPr>
                <w:rFonts w:ascii="宋体" w:hAnsi="宋体" w:eastAsia="宋体" w:cs="宋体"/>
                <w:kern w:val="0"/>
                <w:sz w:val="24"/>
                <w:szCs w:val="24"/>
              </w:rPr>
            </w:pPr>
            <w:r>
              <w:rPr>
                <w:rFonts w:hint="eastAsia" w:ascii="宋体" w:hAnsi="宋体" w:eastAsia="宋体" w:cs="宋体"/>
                <w:kern w:val="0"/>
                <w:sz w:val="24"/>
                <w:szCs w:val="24"/>
              </w:rPr>
              <w:t>a.投标人应按照福建省政府采购网上公开信息系统设定的评审节点编制电子投标文件，否则</w:t>
            </w:r>
            <w:r>
              <w:rPr>
                <w:rFonts w:hint="eastAsia" w:ascii="宋体" w:hAnsi="宋体" w:eastAsia="宋体" w:cs="宋体"/>
                <w:b/>
                <w:bCs/>
                <w:kern w:val="0"/>
                <w:sz w:val="24"/>
                <w:szCs w:val="24"/>
              </w:rPr>
              <w:t>资格审查小组、评标委员会将按照不利于投标人的内容进行认定。</w:t>
            </w:r>
          </w:p>
          <w:p w14:paraId="53290EF6">
            <w:pPr>
              <w:widowControl/>
              <w:wordWrap w:val="0"/>
              <w:jc w:val="left"/>
              <w:rPr>
                <w:rFonts w:ascii="宋体" w:hAnsi="宋体" w:eastAsia="宋体" w:cs="宋体"/>
                <w:kern w:val="0"/>
                <w:sz w:val="24"/>
                <w:szCs w:val="24"/>
              </w:rPr>
            </w:pPr>
            <w:r>
              <w:rPr>
                <w:rFonts w:hint="eastAsia" w:ascii="宋体" w:hAnsi="宋体" w:eastAsia="宋体" w:cs="宋体"/>
                <w:kern w:val="0"/>
                <w:sz w:val="24"/>
                <w:szCs w:val="24"/>
              </w:rPr>
              <w:t>b.投标人应在投标截止时间前按照福建省政府采购网上公开信息系统设定的操作流程将电子投标文件</w:t>
            </w:r>
            <w:r>
              <w:rPr>
                <w:rFonts w:hint="eastAsia" w:ascii="宋体" w:hAnsi="宋体" w:eastAsia="宋体" w:cs="宋体"/>
                <w:b/>
                <w:bCs/>
                <w:kern w:val="0"/>
                <w:sz w:val="24"/>
                <w:szCs w:val="24"/>
                <w:u w:val="single"/>
              </w:rPr>
              <w:t>1</w:t>
            </w:r>
            <w:r>
              <w:rPr>
                <w:rFonts w:hint="eastAsia" w:ascii="宋体" w:hAnsi="宋体" w:eastAsia="宋体" w:cs="宋体"/>
                <w:kern w:val="0"/>
                <w:sz w:val="24"/>
                <w:szCs w:val="24"/>
              </w:rPr>
              <w:t>份上传至福建省政府采购网上公开信息系统。电子投标文件的分项报价一览表、投标客户端的分项报价一览表应保持一致，并以投标客户端的分项报价一览表为准。</w:t>
            </w:r>
          </w:p>
          <w:p w14:paraId="5D91244E">
            <w:pPr>
              <w:widowControl/>
              <w:wordWrap w:val="0"/>
              <w:jc w:val="left"/>
              <w:rPr>
                <w:rFonts w:ascii="宋体" w:hAnsi="宋体" w:eastAsia="宋体" w:cs="宋体"/>
                <w:kern w:val="0"/>
                <w:sz w:val="24"/>
                <w:szCs w:val="24"/>
              </w:rPr>
            </w:pPr>
            <w:r>
              <w:rPr>
                <w:rFonts w:hint="eastAsia" w:ascii="宋体" w:hAnsi="宋体" w:eastAsia="宋体" w:cs="宋体"/>
                <w:kern w:val="0"/>
                <w:sz w:val="24"/>
                <w:szCs w:val="24"/>
              </w:rPr>
              <w:t>③关于证明材料或资料：</w:t>
            </w:r>
          </w:p>
          <w:p w14:paraId="5BBF63BF">
            <w:pPr>
              <w:widowControl/>
              <w:wordWrap w:val="0"/>
              <w:spacing w:after="150"/>
              <w:jc w:val="left"/>
              <w:rPr>
                <w:rFonts w:ascii="宋体" w:hAnsi="宋体" w:eastAsia="宋体" w:cs="宋体"/>
                <w:kern w:val="0"/>
                <w:sz w:val="24"/>
                <w:szCs w:val="24"/>
              </w:rPr>
            </w:pPr>
            <w:r>
              <w:rPr>
                <w:rFonts w:hint="eastAsia" w:ascii="宋体" w:hAnsi="宋体" w:eastAsia="宋体" w:cs="宋体"/>
                <w:kern w:val="0"/>
                <w:sz w:val="24"/>
                <w:szCs w:val="24"/>
              </w:rPr>
              <w:t>a.招标文件要求原件的，投标人在电子投标文件中可提供复印件（含扫描件），但同时应准备好原件备查</w:t>
            </w:r>
            <w:r>
              <w:rPr>
                <w:rFonts w:hint="eastAsia" w:ascii="宋体" w:hAnsi="宋体" w:eastAsia="宋体" w:cs="宋体"/>
                <w:b/>
                <w:bCs/>
                <w:kern w:val="0"/>
                <w:sz w:val="24"/>
                <w:szCs w:val="24"/>
              </w:rPr>
              <w:t>（未能在规定时间内提供原件核查的，将按不利于投标人进行评审）</w:t>
            </w:r>
            <w:r>
              <w:rPr>
                <w:rFonts w:hint="eastAsia" w:ascii="宋体" w:hAnsi="宋体" w:eastAsia="宋体" w:cs="宋体"/>
                <w:kern w:val="0"/>
                <w:sz w:val="24"/>
                <w:szCs w:val="24"/>
              </w:rPr>
              <w:t>；招标文件要求复印件的，投标人在投标文件中提供原件、复印件（含扫描件）皆可；招标文件对原件、复印件未作要求的，投标人在投标文件中提供原件、复印件（含扫描件）皆可。</w:t>
            </w:r>
          </w:p>
          <w:p w14:paraId="659EBA17">
            <w:pPr>
              <w:widowControl/>
              <w:wordWrap w:val="0"/>
              <w:spacing w:after="150"/>
              <w:jc w:val="left"/>
              <w:rPr>
                <w:rFonts w:ascii="宋体" w:hAnsi="宋体" w:eastAsia="宋体" w:cs="宋体"/>
                <w:kern w:val="0"/>
                <w:sz w:val="24"/>
                <w:szCs w:val="24"/>
              </w:rPr>
            </w:pPr>
            <w:r>
              <w:rPr>
                <w:rFonts w:hint="eastAsia" w:ascii="宋体" w:hAnsi="宋体" w:eastAsia="宋体" w:cs="宋体"/>
                <w:kern w:val="0"/>
                <w:sz w:val="24"/>
                <w:szCs w:val="24"/>
              </w:rPr>
              <w:t>b.若投标人提供注明“复印件无效”或“复印无效”的证明材料或资料，应结合上文a条款进行判定，若招标文件未要求投标人提供原件，投标人提供原件，复印件（含扫描件）均视为满足招标文件要求</w:t>
            </w:r>
            <w:r>
              <w:rPr>
                <w:rFonts w:hint="eastAsia" w:ascii="宋体" w:hAnsi="宋体" w:eastAsia="宋体" w:cs="宋体"/>
                <w:b/>
                <w:bCs/>
                <w:kern w:val="0"/>
                <w:sz w:val="24"/>
                <w:szCs w:val="24"/>
              </w:rPr>
              <w:t>。</w:t>
            </w:r>
          </w:p>
          <w:p w14:paraId="0AB3A8FE">
            <w:pPr>
              <w:widowControl/>
              <w:wordWrap w:val="0"/>
              <w:jc w:val="left"/>
              <w:rPr>
                <w:rFonts w:ascii="宋体" w:hAnsi="宋体" w:eastAsia="宋体" w:cs="宋体"/>
                <w:kern w:val="0"/>
                <w:sz w:val="24"/>
                <w:szCs w:val="24"/>
              </w:rPr>
            </w:pPr>
            <w:r>
              <w:rPr>
                <w:rFonts w:hint="eastAsia" w:ascii="宋体" w:hAnsi="宋体" w:eastAsia="宋体" w:cs="宋体"/>
                <w:kern w:val="0"/>
                <w:sz w:val="24"/>
                <w:szCs w:val="24"/>
              </w:rPr>
              <w:t>④关于“全称”、“投标人代表签字”及“加盖单位公章”：</w:t>
            </w:r>
          </w:p>
          <w:p w14:paraId="24414E1B">
            <w:pPr>
              <w:widowControl/>
              <w:wordWrap w:val="0"/>
              <w:jc w:val="left"/>
              <w:rPr>
                <w:rFonts w:ascii="宋体" w:hAnsi="宋体" w:eastAsia="宋体" w:cs="宋体"/>
                <w:kern w:val="0"/>
                <w:sz w:val="24"/>
                <w:szCs w:val="24"/>
              </w:rPr>
            </w:pPr>
            <w:r>
              <w:rPr>
                <w:rFonts w:hint="eastAsia" w:ascii="宋体" w:hAnsi="宋体" w:eastAsia="宋体" w:cs="宋体"/>
                <w:kern w:val="0"/>
                <w:sz w:val="24"/>
                <w:szCs w:val="24"/>
              </w:rPr>
              <w:t>a.在电子投标文件中，涉及“全称”和“投标人代表签字”的内容可使用打字录入方式完成。</w:t>
            </w:r>
          </w:p>
          <w:p w14:paraId="2FC680EE">
            <w:pPr>
              <w:widowControl/>
              <w:wordWrap w:val="0"/>
              <w:jc w:val="left"/>
              <w:rPr>
                <w:rFonts w:ascii="宋体" w:hAnsi="宋体" w:eastAsia="宋体" w:cs="宋体"/>
                <w:kern w:val="0"/>
                <w:sz w:val="24"/>
                <w:szCs w:val="24"/>
              </w:rPr>
            </w:pPr>
            <w:r>
              <w:rPr>
                <w:rFonts w:hint="eastAsia" w:ascii="宋体" w:hAnsi="宋体" w:eastAsia="宋体" w:cs="宋体"/>
                <w:kern w:val="0"/>
                <w:sz w:val="24"/>
                <w:szCs w:val="24"/>
              </w:rPr>
              <w:t>b.在电子投标文件中，涉及“加盖单位公章”的内容应使用投标人的</w:t>
            </w:r>
            <w:r>
              <w:rPr>
                <w:rFonts w:ascii="Calibri" w:hAnsi="Calibri" w:eastAsia="宋体" w:cs="Calibri"/>
                <w:kern w:val="0"/>
                <w:sz w:val="24"/>
                <w:szCs w:val="24"/>
              </w:rPr>
              <w:t>CA</w:t>
            </w:r>
            <w:r>
              <w:rPr>
                <w:rFonts w:hint="eastAsia" w:ascii="宋体" w:hAnsi="宋体" w:eastAsia="宋体" w:cs="宋体"/>
                <w:kern w:val="0"/>
                <w:sz w:val="24"/>
                <w:szCs w:val="24"/>
              </w:rPr>
              <w:t>证书完成，否则</w:t>
            </w:r>
            <w:r>
              <w:rPr>
                <w:rFonts w:hint="eastAsia" w:ascii="宋体" w:hAnsi="宋体" w:eastAsia="宋体" w:cs="宋体"/>
                <w:b/>
                <w:bCs/>
                <w:kern w:val="0"/>
                <w:sz w:val="24"/>
                <w:szCs w:val="24"/>
              </w:rPr>
              <w:t>投标无效。</w:t>
            </w:r>
          </w:p>
          <w:p w14:paraId="1DEF5ED8">
            <w:pPr>
              <w:widowControl/>
              <w:wordWrap w:val="0"/>
              <w:jc w:val="left"/>
              <w:rPr>
                <w:rFonts w:ascii="宋体" w:hAnsi="宋体" w:eastAsia="宋体" w:cs="宋体"/>
                <w:kern w:val="0"/>
                <w:sz w:val="24"/>
                <w:szCs w:val="24"/>
              </w:rPr>
            </w:pPr>
            <w:r>
              <w:rPr>
                <w:rFonts w:hint="eastAsia" w:ascii="宋体" w:hAnsi="宋体" w:eastAsia="宋体" w:cs="宋体"/>
                <w:kern w:val="0"/>
                <w:sz w:val="24"/>
                <w:szCs w:val="24"/>
              </w:rPr>
              <w:t>c.在电子投标文件中，若投标人按照本增列内容第④点第</w:t>
            </w:r>
            <w:r>
              <w:rPr>
                <w:rFonts w:ascii="Calibri" w:hAnsi="Calibri" w:eastAsia="宋体" w:cs="Calibri"/>
                <w:kern w:val="0"/>
                <w:sz w:val="24"/>
                <w:szCs w:val="24"/>
              </w:rPr>
              <w:t>b</w:t>
            </w:r>
            <w:r>
              <w:rPr>
                <w:rFonts w:hint="eastAsia" w:ascii="宋体" w:hAnsi="宋体" w:eastAsia="宋体" w:cs="宋体"/>
                <w:kern w:val="0"/>
                <w:sz w:val="24"/>
                <w:szCs w:val="24"/>
              </w:rPr>
              <w:t>项规定加盖其单位公章，则出现无全称、或投标人代表未签字等情形，</w:t>
            </w:r>
            <w:r>
              <w:rPr>
                <w:rFonts w:hint="eastAsia" w:ascii="宋体" w:hAnsi="宋体" w:eastAsia="宋体" w:cs="宋体"/>
                <w:b/>
                <w:bCs/>
                <w:kern w:val="0"/>
                <w:sz w:val="24"/>
                <w:szCs w:val="24"/>
              </w:rPr>
              <w:t>不视为投标无效。</w:t>
            </w:r>
          </w:p>
          <w:p w14:paraId="3A95AB5D">
            <w:pPr>
              <w:widowControl/>
              <w:wordWrap w:val="0"/>
              <w:jc w:val="left"/>
              <w:rPr>
                <w:rFonts w:ascii="宋体" w:hAnsi="宋体" w:eastAsia="宋体" w:cs="宋体"/>
                <w:kern w:val="0"/>
                <w:sz w:val="24"/>
                <w:szCs w:val="24"/>
              </w:rPr>
            </w:pPr>
            <w:r>
              <w:rPr>
                <w:rFonts w:hint="eastAsia" w:ascii="宋体" w:hAnsi="宋体" w:eastAsia="宋体" w:cs="宋体"/>
                <w:kern w:val="0"/>
                <w:sz w:val="24"/>
                <w:szCs w:val="24"/>
              </w:rPr>
              <w:t>⑤关于投标人的</w:t>
            </w:r>
            <w:r>
              <w:rPr>
                <w:rFonts w:ascii="Calibri" w:hAnsi="Calibri" w:eastAsia="宋体" w:cs="Calibri"/>
                <w:kern w:val="0"/>
                <w:sz w:val="24"/>
                <w:szCs w:val="24"/>
              </w:rPr>
              <w:t>CA</w:t>
            </w:r>
            <w:r>
              <w:rPr>
                <w:rFonts w:hint="eastAsia" w:ascii="宋体" w:hAnsi="宋体" w:eastAsia="宋体" w:cs="宋体"/>
                <w:kern w:val="0"/>
                <w:sz w:val="24"/>
                <w:szCs w:val="24"/>
              </w:rPr>
              <w:t>证书：</w:t>
            </w:r>
          </w:p>
          <w:p w14:paraId="4F9C05BB">
            <w:pPr>
              <w:widowControl/>
              <w:wordWrap w:val="0"/>
              <w:jc w:val="left"/>
              <w:rPr>
                <w:rFonts w:ascii="宋体" w:hAnsi="宋体" w:eastAsia="宋体" w:cs="宋体"/>
                <w:kern w:val="0"/>
                <w:sz w:val="24"/>
                <w:szCs w:val="24"/>
              </w:rPr>
            </w:pPr>
            <w:r>
              <w:rPr>
                <w:rFonts w:hint="eastAsia" w:ascii="宋体" w:hAnsi="宋体" w:eastAsia="宋体" w:cs="宋体"/>
                <w:kern w:val="0"/>
                <w:sz w:val="24"/>
                <w:szCs w:val="24"/>
              </w:rPr>
              <w:t>a.投标人的</w:t>
            </w:r>
            <w:r>
              <w:rPr>
                <w:rFonts w:ascii="Calibri" w:hAnsi="Calibri" w:eastAsia="宋体" w:cs="Calibri"/>
                <w:kern w:val="0"/>
                <w:sz w:val="24"/>
                <w:szCs w:val="24"/>
              </w:rPr>
              <w:t>CA</w:t>
            </w:r>
            <w:r>
              <w:rPr>
                <w:rFonts w:hint="eastAsia" w:ascii="宋体" w:hAnsi="宋体" w:eastAsia="宋体" w:cs="宋体"/>
                <w:kern w:val="0"/>
                <w:sz w:val="24"/>
                <w:szCs w:val="24"/>
              </w:rPr>
              <w:t>证书应在投标截止时间前送达招标文件第一章第</w:t>
            </w:r>
            <w:r>
              <w:rPr>
                <w:rFonts w:ascii="Calibri" w:hAnsi="Calibri" w:eastAsia="宋体" w:cs="Calibri"/>
                <w:kern w:val="0"/>
                <w:sz w:val="24"/>
                <w:szCs w:val="24"/>
              </w:rPr>
              <w:t>9</w:t>
            </w:r>
            <w:r>
              <w:rPr>
                <w:rFonts w:hint="eastAsia" w:ascii="宋体" w:hAnsi="宋体" w:eastAsia="宋体" w:cs="宋体"/>
                <w:kern w:val="0"/>
                <w:sz w:val="24"/>
                <w:szCs w:val="24"/>
              </w:rPr>
              <w:t>条载明的地点，否则</w:t>
            </w:r>
            <w:r>
              <w:rPr>
                <w:rFonts w:hint="eastAsia" w:ascii="宋体" w:hAnsi="宋体" w:eastAsia="宋体" w:cs="宋体"/>
                <w:b/>
                <w:bCs/>
                <w:kern w:val="0"/>
                <w:sz w:val="24"/>
                <w:szCs w:val="24"/>
              </w:rPr>
              <w:t>投标将被拒绝。</w:t>
            </w:r>
          </w:p>
          <w:p w14:paraId="056FEE4E">
            <w:pPr>
              <w:widowControl/>
              <w:wordWrap w:val="0"/>
              <w:jc w:val="left"/>
              <w:rPr>
                <w:rFonts w:ascii="宋体" w:hAnsi="宋体" w:eastAsia="宋体" w:cs="宋体"/>
                <w:kern w:val="0"/>
                <w:sz w:val="24"/>
                <w:szCs w:val="24"/>
              </w:rPr>
            </w:pPr>
            <w:r>
              <w:rPr>
                <w:rFonts w:hint="eastAsia" w:ascii="宋体" w:hAnsi="宋体" w:eastAsia="宋体" w:cs="宋体"/>
                <w:kern w:val="0"/>
                <w:sz w:val="24"/>
                <w:szCs w:val="24"/>
              </w:rPr>
              <w:t>b.投标人的</w:t>
            </w:r>
            <w:r>
              <w:rPr>
                <w:rFonts w:ascii="Calibri" w:hAnsi="Calibri" w:eastAsia="宋体" w:cs="Calibri"/>
                <w:kern w:val="0"/>
                <w:sz w:val="24"/>
                <w:szCs w:val="24"/>
              </w:rPr>
              <w:t>CA</w:t>
            </w:r>
            <w:r>
              <w:rPr>
                <w:rFonts w:hint="eastAsia" w:ascii="宋体" w:hAnsi="宋体" w:eastAsia="宋体" w:cs="宋体"/>
                <w:kern w:val="0"/>
                <w:sz w:val="24"/>
                <w:szCs w:val="24"/>
              </w:rPr>
              <w:t>证书可采用信封（包括但不限于：信封、档案袋、文件袋等）作为外包装进行单独包装。外包装密封、不密封皆可。</w:t>
            </w:r>
          </w:p>
          <w:p w14:paraId="49A06BA4">
            <w:pPr>
              <w:widowControl/>
              <w:wordWrap w:val="0"/>
              <w:jc w:val="left"/>
              <w:rPr>
                <w:rFonts w:ascii="宋体" w:hAnsi="宋体" w:eastAsia="宋体" w:cs="宋体"/>
                <w:kern w:val="0"/>
                <w:sz w:val="24"/>
                <w:szCs w:val="24"/>
              </w:rPr>
            </w:pPr>
            <w:r>
              <w:rPr>
                <w:rFonts w:hint="eastAsia" w:ascii="宋体" w:hAnsi="宋体" w:eastAsia="宋体" w:cs="宋体"/>
                <w:kern w:val="0"/>
                <w:sz w:val="24"/>
                <w:szCs w:val="24"/>
              </w:rPr>
              <w:t>c.投标人的</w:t>
            </w:r>
            <w:r>
              <w:rPr>
                <w:rFonts w:ascii="Calibri" w:hAnsi="Calibri" w:eastAsia="宋体" w:cs="Calibri"/>
                <w:kern w:val="0"/>
                <w:sz w:val="24"/>
                <w:szCs w:val="24"/>
              </w:rPr>
              <w:t>CA</w:t>
            </w:r>
            <w:r>
              <w:rPr>
                <w:rFonts w:hint="eastAsia" w:ascii="宋体" w:hAnsi="宋体" w:eastAsia="宋体" w:cs="宋体"/>
                <w:kern w:val="0"/>
                <w:sz w:val="24"/>
                <w:szCs w:val="24"/>
              </w:rPr>
              <w:t>证书或外包装应标记“项目名称、项目编号、投标人的全称”等内容，以方便识别、使用。</w:t>
            </w:r>
          </w:p>
          <w:p w14:paraId="5B6BAF9C">
            <w:pPr>
              <w:widowControl/>
              <w:wordWrap w:val="0"/>
              <w:jc w:val="left"/>
              <w:rPr>
                <w:rFonts w:ascii="宋体" w:hAnsi="宋体" w:eastAsia="宋体" w:cs="宋体"/>
                <w:kern w:val="0"/>
                <w:sz w:val="24"/>
                <w:szCs w:val="24"/>
              </w:rPr>
            </w:pPr>
            <w:r>
              <w:rPr>
                <w:rFonts w:hint="eastAsia" w:ascii="宋体" w:hAnsi="宋体" w:eastAsia="宋体" w:cs="宋体"/>
                <w:kern w:val="0"/>
                <w:sz w:val="24"/>
                <w:szCs w:val="24"/>
              </w:rPr>
              <w:t>d.投标人的</w:t>
            </w:r>
            <w:r>
              <w:rPr>
                <w:rFonts w:ascii="Calibri" w:hAnsi="Calibri" w:eastAsia="宋体" w:cs="Calibri"/>
                <w:kern w:val="0"/>
                <w:sz w:val="24"/>
                <w:szCs w:val="24"/>
              </w:rPr>
              <w:t>CA</w:t>
            </w:r>
            <w:r>
              <w:rPr>
                <w:rFonts w:hint="eastAsia" w:ascii="宋体" w:hAnsi="宋体" w:eastAsia="宋体" w:cs="宋体"/>
                <w:kern w:val="0"/>
                <w:sz w:val="24"/>
                <w:szCs w:val="24"/>
              </w:rPr>
              <w:t>证书应能正常、有效使用，否则产生不利后果由投标人承担责任。</w:t>
            </w:r>
          </w:p>
          <w:p w14:paraId="25E6801A">
            <w:pPr>
              <w:widowControl/>
              <w:wordWrap w:val="0"/>
              <w:jc w:val="left"/>
              <w:rPr>
                <w:rFonts w:ascii="宋体" w:hAnsi="宋体" w:eastAsia="宋体" w:cs="宋体"/>
                <w:kern w:val="0"/>
                <w:sz w:val="24"/>
                <w:szCs w:val="24"/>
              </w:rPr>
            </w:pPr>
            <w:r>
              <w:rPr>
                <w:rFonts w:hint="eastAsia" w:ascii="宋体" w:hAnsi="宋体" w:eastAsia="宋体" w:cs="宋体"/>
                <w:kern w:val="0"/>
                <w:sz w:val="24"/>
                <w:szCs w:val="24"/>
              </w:rPr>
              <w:t>⑥关于投标截止时间过后</w:t>
            </w:r>
          </w:p>
          <w:p w14:paraId="7C49F9D4">
            <w:pPr>
              <w:widowControl/>
              <w:wordWrap w:val="0"/>
              <w:jc w:val="left"/>
              <w:rPr>
                <w:rFonts w:ascii="宋体" w:hAnsi="宋体" w:eastAsia="宋体" w:cs="宋体"/>
                <w:kern w:val="0"/>
                <w:sz w:val="24"/>
                <w:szCs w:val="24"/>
              </w:rPr>
            </w:pPr>
            <w:r>
              <w:rPr>
                <w:rFonts w:hint="eastAsia" w:ascii="宋体" w:hAnsi="宋体" w:eastAsia="宋体" w:cs="宋体"/>
                <w:kern w:val="0"/>
                <w:sz w:val="24"/>
                <w:szCs w:val="24"/>
              </w:rPr>
              <w:t>a.未按招标文件规定提交投标保证金的，</w:t>
            </w:r>
            <w:r>
              <w:rPr>
                <w:rFonts w:hint="eastAsia" w:ascii="宋体" w:hAnsi="宋体" w:eastAsia="宋体" w:cs="宋体"/>
                <w:b/>
                <w:bCs/>
                <w:kern w:val="0"/>
                <w:sz w:val="24"/>
                <w:szCs w:val="24"/>
              </w:rPr>
              <w:t>其投标将按无效投标处理。</w:t>
            </w:r>
          </w:p>
          <w:p w14:paraId="306C2BE5">
            <w:pPr>
              <w:widowControl/>
              <w:wordWrap w:val="0"/>
              <w:jc w:val="left"/>
              <w:rPr>
                <w:rFonts w:ascii="宋体" w:hAnsi="宋体" w:eastAsia="宋体" w:cs="宋体"/>
                <w:kern w:val="0"/>
                <w:sz w:val="24"/>
                <w:szCs w:val="24"/>
              </w:rPr>
            </w:pPr>
            <w:r>
              <w:rPr>
                <w:rFonts w:hint="eastAsia" w:ascii="宋体" w:hAnsi="宋体" w:eastAsia="宋体" w:cs="宋体"/>
                <w:kern w:val="0"/>
                <w:sz w:val="24"/>
                <w:szCs w:val="24"/>
              </w:rPr>
              <w:t>b.有下列情形之一的，其</w:t>
            </w:r>
            <w:r>
              <w:rPr>
                <w:rFonts w:hint="eastAsia" w:ascii="宋体" w:hAnsi="宋体" w:eastAsia="宋体" w:cs="宋体"/>
                <w:b/>
                <w:bCs/>
                <w:kern w:val="0"/>
                <w:sz w:val="24"/>
                <w:szCs w:val="24"/>
              </w:rPr>
              <w:t>投标无效</w:t>
            </w:r>
            <w:r>
              <w:rPr>
                <w:rFonts w:hint="eastAsia" w:ascii="宋体" w:hAnsi="宋体" w:eastAsia="宋体" w:cs="宋体"/>
                <w:kern w:val="0"/>
                <w:sz w:val="24"/>
                <w:szCs w:val="24"/>
              </w:rPr>
              <w:t>,其保证金不予退还：</w:t>
            </w:r>
          </w:p>
          <w:p w14:paraId="7EE1EDFC">
            <w:pPr>
              <w:widowControl/>
              <w:wordWrap w:val="0"/>
              <w:jc w:val="left"/>
              <w:rPr>
                <w:rFonts w:ascii="宋体" w:hAnsi="宋体" w:eastAsia="宋体" w:cs="宋体"/>
                <w:kern w:val="0"/>
                <w:sz w:val="24"/>
                <w:szCs w:val="24"/>
              </w:rPr>
            </w:pPr>
            <w:r>
              <w:rPr>
                <w:rFonts w:hint="eastAsia" w:ascii="宋体" w:hAnsi="宋体" w:eastAsia="宋体" w:cs="宋体"/>
                <w:kern w:val="0"/>
                <w:sz w:val="24"/>
                <w:szCs w:val="24"/>
              </w:rPr>
              <w:t>b1不同投标人的电子投标文件具有相同内部识别码；</w:t>
            </w:r>
          </w:p>
          <w:p w14:paraId="01D86124">
            <w:pPr>
              <w:widowControl/>
              <w:wordWrap w:val="0"/>
              <w:jc w:val="left"/>
              <w:rPr>
                <w:rFonts w:ascii="宋体" w:hAnsi="宋体" w:eastAsia="宋体" w:cs="宋体"/>
                <w:kern w:val="0"/>
                <w:sz w:val="24"/>
                <w:szCs w:val="24"/>
              </w:rPr>
            </w:pPr>
            <w:r>
              <w:rPr>
                <w:rFonts w:hint="eastAsia" w:ascii="宋体" w:hAnsi="宋体" w:eastAsia="宋体" w:cs="宋体"/>
                <w:kern w:val="0"/>
                <w:sz w:val="24"/>
                <w:szCs w:val="24"/>
              </w:rPr>
              <w:t>b2不同投标人的投标保证金从同一单位或个人的账户转出；</w:t>
            </w:r>
          </w:p>
          <w:p w14:paraId="3BE627F9">
            <w:pPr>
              <w:widowControl/>
              <w:wordWrap w:val="0"/>
              <w:jc w:val="left"/>
              <w:rPr>
                <w:rFonts w:ascii="宋体" w:hAnsi="宋体" w:eastAsia="宋体" w:cs="宋体"/>
                <w:kern w:val="0"/>
                <w:sz w:val="24"/>
                <w:szCs w:val="24"/>
              </w:rPr>
            </w:pPr>
            <w:r>
              <w:rPr>
                <w:rFonts w:hint="eastAsia" w:ascii="宋体" w:hAnsi="宋体" w:eastAsia="宋体" w:cs="宋体"/>
                <w:kern w:val="0"/>
                <w:sz w:val="24"/>
                <w:szCs w:val="24"/>
              </w:rPr>
              <w:t>b3投标人的投标保证金同一采购包下有其他投标人提交的投标保证金</w:t>
            </w:r>
            <w:r>
              <w:rPr>
                <w:rFonts w:hint="eastAsia" w:ascii="宋体" w:hAnsi="宋体" w:eastAsia="宋体" w:cs="宋体"/>
                <w:kern w:val="0"/>
                <w:sz w:val="24"/>
                <w:szCs w:val="24"/>
              </w:rPr>
              <w:br w:type="textWrapping"/>
            </w:r>
          </w:p>
          <w:p w14:paraId="2E05EB96">
            <w:pPr>
              <w:widowControl/>
              <w:wordWrap w:val="0"/>
              <w:spacing w:after="150"/>
              <w:jc w:val="left"/>
              <w:rPr>
                <w:rFonts w:ascii="宋体" w:hAnsi="宋体" w:eastAsia="宋体" w:cs="宋体"/>
                <w:kern w:val="0"/>
                <w:sz w:val="24"/>
                <w:szCs w:val="24"/>
              </w:rPr>
            </w:pPr>
            <w:r>
              <w:rPr>
                <w:rFonts w:hint="eastAsia" w:ascii="宋体" w:hAnsi="宋体" w:eastAsia="宋体" w:cs="宋体"/>
                <w:kern w:val="0"/>
                <w:sz w:val="24"/>
                <w:szCs w:val="24"/>
              </w:rPr>
              <w:t>b4不同投标人存在串通投标的其他情形。</w:t>
            </w:r>
          </w:p>
          <w:p w14:paraId="1FEF3397">
            <w:pPr>
              <w:widowControl/>
              <w:wordWrap w:val="0"/>
              <w:jc w:val="left"/>
              <w:rPr>
                <w:rFonts w:ascii="宋体" w:hAnsi="宋体" w:eastAsia="宋体" w:cs="宋体"/>
                <w:kern w:val="0"/>
                <w:sz w:val="24"/>
                <w:szCs w:val="24"/>
              </w:rPr>
            </w:pPr>
            <w:r>
              <w:rPr>
                <w:rFonts w:hint="eastAsia" w:ascii="宋体" w:hAnsi="宋体" w:eastAsia="宋体" w:cs="宋体"/>
                <w:kern w:val="0"/>
                <w:sz w:val="24"/>
                <w:szCs w:val="24"/>
              </w:rPr>
              <w:t>⑦接受联合体投标且投标人为联合体的，投标人应由“联合体牵头方”完成福建省政府采购网上公开信息系统设定的具体操作流程（包括但不限于：招标文件获取、提交投标保证金、编制电子投标文件等）。</w:t>
            </w:r>
          </w:p>
          <w:p w14:paraId="7088A530">
            <w:pPr>
              <w:widowControl/>
              <w:wordWrap w:val="0"/>
              <w:jc w:val="left"/>
              <w:rPr>
                <w:rFonts w:ascii="宋体" w:hAnsi="宋体" w:eastAsia="宋体" w:cs="宋体"/>
                <w:kern w:val="0"/>
                <w:sz w:val="24"/>
                <w:szCs w:val="24"/>
              </w:rPr>
            </w:pPr>
            <w:r>
              <w:rPr>
                <w:rFonts w:hint="eastAsia" w:ascii="宋体" w:hAnsi="宋体" w:eastAsia="宋体" w:cs="宋体"/>
                <w:kern w:val="0"/>
                <w:sz w:val="24"/>
                <w:szCs w:val="24"/>
              </w:rPr>
              <w:t>⑧其他：</w:t>
            </w:r>
            <w:r>
              <w:rPr>
                <w:rFonts w:ascii="宋体" w:hAnsi="宋体" w:eastAsia="宋体" w:cs="宋体"/>
                <w:kern w:val="0"/>
                <w:sz w:val="24"/>
                <w:szCs w:val="24"/>
              </w:rPr>
              <w:t>无。</w:t>
            </w:r>
            <w:r>
              <w:rPr>
                <w:rFonts w:hint="eastAsia" w:ascii="宋体" w:hAnsi="宋体" w:eastAsia="宋体" w:cs="宋体"/>
                <w:kern w:val="0"/>
                <w:sz w:val="24"/>
                <w:szCs w:val="24"/>
              </w:rPr>
              <w:t>。</w:t>
            </w:r>
          </w:p>
        </w:tc>
      </w:tr>
    </w:tbl>
    <w:p w14:paraId="2CCF87BD">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14:paraId="226D9C96">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14:paraId="24C24632">
      <w:pPr>
        <w:widowControl/>
        <w:jc w:val="left"/>
        <w:rPr>
          <w:rFonts w:ascii="宋体" w:hAnsi="宋体" w:eastAsia="宋体" w:cs="宋体"/>
          <w:b/>
          <w:bCs/>
          <w:kern w:val="0"/>
          <w:sz w:val="32"/>
          <w:szCs w:val="32"/>
        </w:rPr>
      </w:pPr>
      <w:r>
        <w:rPr>
          <w:rFonts w:ascii="宋体" w:hAnsi="宋体" w:eastAsia="宋体" w:cs="宋体"/>
          <w:b/>
          <w:bCs/>
          <w:kern w:val="0"/>
          <w:sz w:val="32"/>
          <w:szCs w:val="32"/>
        </w:rPr>
        <w:br w:type="page"/>
      </w:r>
    </w:p>
    <w:p w14:paraId="371A9A21">
      <w:pPr>
        <w:widowControl/>
        <w:spacing w:before="75" w:after="75"/>
        <w:jc w:val="center"/>
        <w:rPr>
          <w:rFonts w:ascii="宋体" w:hAnsi="宋体" w:eastAsia="宋体" w:cs="宋体"/>
          <w:kern w:val="0"/>
          <w:sz w:val="24"/>
          <w:szCs w:val="24"/>
        </w:rPr>
      </w:pPr>
      <w:r>
        <w:rPr>
          <w:rFonts w:hint="eastAsia" w:ascii="宋体" w:hAnsi="宋体" w:eastAsia="宋体" w:cs="宋体"/>
          <w:b/>
          <w:bCs/>
          <w:kern w:val="0"/>
          <w:sz w:val="32"/>
          <w:szCs w:val="32"/>
        </w:rPr>
        <w:t>第三章   投标人须知</w:t>
      </w:r>
    </w:p>
    <w:p w14:paraId="62F14D8E">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 </w:t>
      </w:r>
    </w:p>
    <w:p w14:paraId="229298FD">
      <w:pPr>
        <w:widowControl/>
        <w:spacing w:before="75" w:after="75"/>
        <w:jc w:val="center"/>
        <w:rPr>
          <w:rFonts w:ascii="宋体" w:hAnsi="宋体" w:eastAsia="宋体" w:cs="宋体"/>
          <w:kern w:val="0"/>
          <w:sz w:val="24"/>
          <w:szCs w:val="24"/>
        </w:rPr>
      </w:pPr>
      <w:r>
        <w:rPr>
          <w:rFonts w:hint="eastAsia" w:ascii="宋体" w:hAnsi="宋体" w:eastAsia="宋体" w:cs="宋体"/>
          <w:b/>
          <w:bCs/>
          <w:kern w:val="0"/>
          <w:sz w:val="24"/>
          <w:szCs w:val="24"/>
        </w:rPr>
        <w:t>一、总则</w:t>
      </w:r>
    </w:p>
    <w:p w14:paraId="199A1211">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1、适用范围</w:t>
      </w:r>
    </w:p>
    <w:p w14:paraId="2EF9C5AB">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1.1适用于招标文件载明项目的政府采购活动（以下简称：“本次采购活动”）。</w:t>
      </w:r>
    </w:p>
    <w:p w14:paraId="053A5ABC">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2、定义</w:t>
      </w:r>
    </w:p>
    <w:p w14:paraId="106DEE7F">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2.1“采购标的”指招标文件载明的需要采购的货物或服务。</w:t>
      </w:r>
    </w:p>
    <w:p w14:paraId="1FE7F925">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2.2“潜在投标人”指按照招标文件第一章第</w:t>
      </w:r>
      <w:r>
        <w:rPr>
          <w:rFonts w:ascii="Calibri" w:hAnsi="Calibri" w:eastAsia="宋体" w:cs="Calibri"/>
          <w:kern w:val="0"/>
          <w:sz w:val="24"/>
          <w:szCs w:val="24"/>
        </w:rPr>
        <w:t>7</w:t>
      </w:r>
      <w:r>
        <w:rPr>
          <w:rFonts w:hint="eastAsia" w:ascii="宋体" w:hAnsi="宋体" w:eastAsia="宋体" w:cs="宋体"/>
          <w:kern w:val="0"/>
          <w:sz w:val="24"/>
          <w:szCs w:val="24"/>
        </w:rPr>
        <w:t>条规定获取招标文件且有意向参加本项目投标的供应商。</w:t>
      </w:r>
    </w:p>
    <w:p w14:paraId="46B8A051">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2.3“投标人”指按照招标文件第一章第</w:t>
      </w:r>
      <w:r>
        <w:rPr>
          <w:rFonts w:ascii="Calibri" w:hAnsi="Calibri" w:eastAsia="宋体" w:cs="Calibri"/>
          <w:kern w:val="0"/>
          <w:sz w:val="24"/>
          <w:szCs w:val="24"/>
        </w:rPr>
        <w:t>7</w:t>
      </w:r>
      <w:r>
        <w:rPr>
          <w:rFonts w:hint="eastAsia" w:ascii="宋体" w:hAnsi="宋体" w:eastAsia="宋体" w:cs="宋体"/>
          <w:kern w:val="0"/>
          <w:sz w:val="24"/>
          <w:szCs w:val="24"/>
        </w:rPr>
        <w:t>条规定获取招标文件并参加本项目投标的供应商。</w:t>
      </w:r>
    </w:p>
    <w:p w14:paraId="758EF9ED">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2.4“单位负责人”指单位法定代表人或法律、法规规定代表单位行使职权的主要负责人。</w:t>
      </w:r>
    </w:p>
    <w:p w14:paraId="4F0A183E">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2.5“投标人代表”指投标人的单位负责人或“单位负责人授权书”中载明的接受授权方。</w:t>
      </w:r>
    </w:p>
    <w:p w14:paraId="46396C47">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 </w:t>
      </w:r>
    </w:p>
    <w:p w14:paraId="04E3D507">
      <w:pPr>
        <w:widowControl/>
        <w:spacing w:before="75" w:after="75"/>
        <w:jc w:val="center"/>
        <w:rPr>
          <w:rFonts w:ascii="宋体" w:hAnsi="宋体" w:eastAsia="宋体" w:cs="宋体"/>
          <w:kern w:val="0"/>
          <w:sz w:val="24"/>
          <w:szCs w:val="24"/>
        </w:rPr>
      </w:pPr>
      <w:r>
        <w:rPr>
          <w:rFonts w:hint="eastAsia" w:ascii="宋体" w:hAnsi="宋体" w:eastAsia="宋体" w:cs="宋体"/>
          <w:b/>
          <w:bCs/>
          <w:kern w:val="0"/>
          <w:sz w:val="24"/>
          <w:szCs w:val="24"/>
        </w:rPr>
        <w:t>二、投标人</w:t>
      </w:r>
    </w:p>
    <w:p w14:paraId="4382EC73">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3、合格投标人</w:t>
      </w:r>
    </w:p>
    <w:p w14:paraId="08645170">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3.1一般规定</w:t>
      </w:r>
    </w:p>
    <w:p w14:paraId="185EA930">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（1）投标人应遵守政府采购法及实施条例、政府采购招投标管理办法、政府采购质疑和投诉办法及财政部、福建省财政厅有关政府采购文件的规定，同时还应遵守有关法律、法规和规章的强制性规定。</w:t>
      </w:r>
    </w:p>
    <w:p w14:paraId="56325476">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（2）投标人的资格要求：详见招标文件第一章。</w:t>
      </w:r>
    </w:p>
    <w:p w14:paraId="45183A1A">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3.2若本项目接受联合体投标且投标人为联合体，则联合体各方应遵守本章第3.1条规定，同时还应遵守下列规定：</w:t>
      </w:r>
    </w:p>
    <w:p w14:paraId="030175BF">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（1）联合体各方应提交联合体协议，联合体协议应符合招标文件规定。</w:t>
      </w:r>
    </w:p>
    <w:p w14:paraId="2D60961A">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（2）联合体各方不得再单独参加或与其他供应商另外组成联合体参加同一合同项下的投标。</w:t>
      </w:r>
    </w:p>
    <w:p w14:paraId="2BD5EAC2">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（3）联合体各方应共同与采购人签订政府采购合同，就政府采购合同约定的事项对采购人承担连带责任。</w:t>
      </w:r>
    </w:p>
    <w:p w14:paraId="07F047B4">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4、投标费用</w:t>
      </w:r>
    </w:p>
    <w:p w14:paraId="715E8AE6">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4.1除招标文件另有规定外，投标人应自行承担其参加本项目投标所涉及的一切费用。</w:t>
      </w:r>
    </w:p>
    <w:p w14:paraId="46312636">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 </w:t>
      </w:r>
    </w:p>
    <w:p w14:paraId="10AD9F28">
      <w:pPr>
        <w:widowControl/>
        <w:spacing w:before="75" w:after="75"/>
        <w:jc w:val="center"/>
        <w:rPr>
          <w:rFonts w:ascii="宋体" w:hAnsi="宋体" w:eastAsia="宋体" w:cs="宋体"/>
          <w:kern w:val="0"/>
          <w:sz w:val="24"/>
          <w:szCs w:val="24"/>
        </w:rPr>
      </w:pPr>
      <w:r>
        <w:rPr>
          <w:rFonts w:hint="eastAsia" w:ascii="宋体" w:hAnsi="宋体" w:eastAsia="宋体" w:cs="宋体"/>
          <w:b/>
          <w:bCs/>
          <w:kern w:val="0"/>
          <w:sz w:val="24"/>
          <w:szCs w:val="24"/>
        </w:rPr>
        <w:t>三、招标</w:t>
      </w:r>
    </w:p>
    <w:p w14:paraId="0B13D31E">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5、招标文件</w:t>
      </w:r>
    </w:p>
    <w:p w14:paraId="05C9FA12">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5.1招标文件由下述部分组成：</w:t>
      </w:r>
    </w:p>
    <w:p w14:paraId="43F41EFB">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（1）投标邀请</w:t>
      </w:r>
    </w:p>
    <w:p w14:paraId="6D376331">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（2）投标人须知前附表（表</w:t>
      </w:r>
      <w:r>
        <w:rPr>
          <w:rFonts w:ascii="Calibri" w:hAnsi="Calibri" w:eastAsia="宋体" w:cs="Calibri"/>
          <w:kern w:val="0"/>
          <w:sz w:val="24"/>
          <w:szCs w:val="24"/>
        </w:rPr>
        <w:t>1</w:t>
      </w:r>
      <w:r>
        <w:rPr>
          <w:rFonts w:hint="eastAsia" w:ascii="宋体" w:hAnsi="宋体" w:eastAsia="宋体" w:cs="宋体"/>
          <w:kern w:val="0"/>
          <w:sz w:val="24"/>
          <w:szCs w:val="24"/>
        </w:rPr>
        <w:t>、</w:t>
      </w:r>
      <w:r>
        <w:rPr>
          <w:rFonts w:ascii="Calibri" w:hAnsi="Calibri" w:eastAsia="宋体" w:cs="Calibri"/>
          <w:kern w:val="0"/>
          <w:sz w:val="24"/>
          <w:szCs w:val="24"/>
        </w:rPr>
        <w:t>2</w:t>
      </w:r>
      <w:r>
        <w:rPr>
          <w:rFonts w:hint="eastAsia" w:ascii="宋体" w:hAnsi="宋体" w:eastAsia="宋体" w:cs="宋体"/>
          <w:kern w:val="0"/>
          <w:sz w:val="24"/>
          <w:szCs w:val="24"/>
        </w:rPr>
        <w:t>）</w:t>
      </w:r>
    </w:p>
    <w:p w14:paraId="70174B31">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（3）投标人须知</w:t>
      </w:r>
    </w:p>
    <w:p w14:paraId="7BA67C9C">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（4）资格审查与评标</w:t>
      </w:r>
    </w:p>
    <w:p w14:paraId="759BF981">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（5）招标内容及要求</w:t>
      </w:r>
    </w:p>
    <w:p w14:paraId="06E9EFA5">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（6）政府采购合同（参考文本）</w:t>
      </w:r>
    </w:p>
    <w:p w14:paraId="1D842EA2">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（7）投标文件格式</w:t>
      </w:r>
    </w:p>
    <w:p w14:paraId="51FB927D">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（8）按照招标文件规定作为招标文件组成部分的其他内容（若有）</w:t>
      </w:r>
    </w:p>
    <w:p w14:paraId="6C83432D">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5.2招标文件的澄清或修改</w:t>
      </w:r>
    </w:p>
    <w:p w14:paraId="7981FAFE">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u w:val="single"/>
        </w:rPr>
        <w:t>福建昇华工程造价咨询有限公司</w:t>
      </w:r>
      <w:r>
        <w:rPr>
          <w:rFonts w:hint="eastAsia" w:ascii="宋体" w:hAnsi="宋体" w:eastAsia="宋体" w:cs="宋体"/>
          <w:kern w:val="0"/>
          <w:sz w:val="24"/>
          <w:szCs w:val="24"/>
        </w:rPr>
        <w:t>可对已发出的招标文件进行必要的澄清或修改，但不得对招标文件载明的采购标的和投标人的资格要求进行改变。</w:t>
      </w:r>
    </w:p>
    <w:p w14:paraId="274ADF55">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（2）除本章第</w:t>
      </w:r>
      <w:r>
        <w:rPr>
          <w:rFonts w:ascii="Calibri" w:hAnsi="Calibri" w:eastAsia="宋体" w:cs="Calibri"/>
          <w:kern w:val="0"/>
          <w:sz w:val="24"/>
          <w:szCs w:val="24"/>
        </w:rPr>
        <w:t>5.2</w:t>
      </w:r>
      <w:r>
        <w:rPr>
          <w:rFonts w:hint="eastAsia" w:ascii="宋体" w:hAnsi="宋体" w:eastAsia="宋体" w:cs="宋体"/>
          <w:kern w:val="0"/>
          <w:sz w:val="24"/>
          <w:szCs w:val="24"/>
        </w:rPr>
        <w:t>条第（</w:t>
      </w:r>
      <w:r>
        <w:rPr>
          <w:rFonts w:ascii="Calibri" w:hAnsi="Calibri" w:eastAsia="宋体" w:cs="Calibri"/>
          <w:kern w:val="0"/>
          <w:sz w:val="24"/>
          <w:szCs w:val="24"/>
        </w:rPr>
        <w:t>3</w:t>
      </w:r>
      <w:r>
        <w:rPr>
          <w:rFonts w:hint="eastAsia" w:ascii="宋体" w:hAnsi="宋体" w:eastAsia="宋体" w:cs="宋体"/>
          <w:kern w:val="0"/>
          <w:sz w:val="24"/>
          <w:szCs w:val="24"/>
        </w:rPr>
        <w:t>）款规定情形外，澄清或修改的内容可能影响投标文件编制的，</w:t>
      </w:r>
      <w:r>
        <w:rPr>
          <w:rFonts w:hint="eastAsia" w:ascii="宋体" w:hAnsi="宋体" w:eastAsia="宋体" w:cs="宋体"/>
          <w:kern w:val="0"/>
          <w:sz w:val="24"/>
          <w:szCs w:val="24"/>
          <w:u w:val="single"/>
        </w:rPr>
        <w:t>福建昇华工程造价咨询有限公司</w:t>
      </w:r>
      <w:r>
        <w:rPr>
          <w:rFonts w:hint="eastAsia" w:ascii="宋体" w:hAnsi="宋体" w:eastAsia="宋体" w:cs="宋体"/>
          <w:kern w:val="0"/>
          <w:sz w:val="24"/>
          <w:szCs w:val="24"/>
        </w:rPr>
        <w:t>将在投标截止时间至少15个日历日前，在招标文件载明的指定媒体以更正公告的形式发布澄清或修改的内容。不足</w:t>
      </w:r>
      <w:r>
        <w:rPr>
          <w:rFonts w:ascii="Calibri" w:hAnsi="Calibri" w:eastAsia="宋体" w:cs="Calibri"/>
          <w:kern w:val="0"/>
          <w:sz w:val="24"/>
          <w:szCs w:val="24"/>
        </w:rPr>
        <w:t>15</w:t>
      </w:r>
      <w:r>
        <w:rPr>
          <w:rFonts w:hint="eastAsia" w:ascii="宋体" w:hAnsi="宋体" w:eastAsia="宋体" w:cs="宋体"/>
          <w:kern w:val="0"/>
          <w:sz w:val="24"/>
          <w:szCs w:val="24"/>
        </w:rPr>
        <w:t>个日历日的，</w:t>
      </w:r>
      <w:r>
        <w:rPr>
          <w:rFonts w:hint="eastAsia" w:ascii="宋体" w:hAnsi="宋体" w:eastAsia="宋体" w:cs="宋体"/>
          <w:kern w:val="0"/>
          <w:sz w:val="24"/>
          <w:szCs w:val="24"/>
          <w:u w:val="single"/>
        </w:rPr>
        <w:t>福建昇华工程造价咨询有限公司</w:t>
      </w:r>
      <w:r>
        <w:rPr>
          <w:rFonts w:hint="eastAsia" w:ascii="宋体" w:hAnsi="宋体" w:eastAsia="宋体" w:cs="宋体"/>
          <w:kern w:val="0"/>
          <w:sz w:val="24"/>
          <w:szCs w:val="24"/>
        </w:rPr>
        <w:t>将顺延投标截止时间及开标时间，</w:t>
      </w:r>
      <w:r>
        <w:rPr>
          <w:rFonts w:hint="eastAsia" w:ascii="宋体" w:hAnsi="宋体" w:eastAsia="宋体" w:cs="宋体"/>
          <w:kern w:val="0"/>
          <w:sz w:val="24"/>
          <w:szCs w:val="24"/>
          <w:u w:val="single"/>
        </w:rPr>
        <w:t>福建昇华工程造价咨询有限公司</w:t>
      </w:r>
      <w:r>
        <w:rPr>
          <w:rFonts w:hint="eastAsia" w:ascii="宋体" w:hAnsi="宋体" w:eastAsia="宋体" w:cs="宋体"/>
          <w:kern w:val="0"/>
          <w:sz w:val="24"/>
          <w:szCs w:val="24"/>
        </w:rPr>
        <w:t>和投标人受原投标截止时间及开标时间制约的所有权利和义务均延长至新的投标截止时间及开标时间。</w:t>
      </w:r>
    </w:p>
    <w:p w14:paraId="101DE831">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（3）澄清或修改的内容可能改变招标文件载明的采购标的和投标人的资格要求的，本次采购活动结束，</w:t>
      </w:r>
      <w:r>
        <w:rPr>
          <w:rFonts w:hint="eastAsia" w:ascii="宋体" w:hAnsi="宋体" w:eastAsia="宋体" w:cs="宋体"/>
          <w:kern w:val="0"/>
          <w:sz w:val="24"/>
          <w:szCs w:val="24"/>
          <w:u w:val="single"/>
        </w:rPr>
        <w:t>福建昇华工程造价咨询有限公司</w:t>
      </w:r>
      <w:r>
        <w:rPr>
          <w:rFonts w:hint="eastAsia" w:ascii="宋体" w:hAnsi="宋体" w:eastAsia="宋体" w:cs="宋体"/>
          <w:kern w:val="0"/>
          <w:sz w:val="24"/>
          <w:szCs w:val="24"/>
        </w:rPr>
        <w:t>将依法组织后续采购活动（包括但不限于：重新招标、采用其他方式采购等）。</w:t>
      </w:r>
    </w:p>
    <w:p w14:paraId="5C8D1A1A">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6、现场考察或开标前答疑会</w:t>
      </w:r>
    </w:p>
    <w:p w14:paraId="091DAC96">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6.1是否组织现场考察或召开开标前答疑会：详见招标文件第二章。</w:t>
      </w:r>
    </w:p>
    <w:p w14:paraId="5DFC6D90">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7、更正公告</w:t>
      </w:r>
    </w:p>
    <w:p w14:paraId="7874ED5C">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7.1若</w:t>
      </w:r>
      <w:r>
        <w:rPr>
          <w:rFonts w:hint="eastAsia" w:ascii="宋体" w:hAnsi="宋体" w:eastAsia="宋体" w:cs="宋体"/>
          <w:kern w:val="0"/>
          <w:sz w:val="24"/>
          <w:szCs w:val="24"/>
          <w:u w:val="single"/>
        </w:rPr>
        <w:t>福建昇华工程造价咨询有限公司</w:t>
      </w:r>
      <w:r>
        <w:rPr>
          <w:rFonts w:hint="eastAsia" w:ascii="宋体" w:hAnsi="宋体" w:eastAsia="宋体" w:cs="宋体"/>
          <w:kern w:val="0"/>
          <w:sz w:val="24"/>
          <w:szCs w:val="24"/>
        </w:rPr>
        <w:t>发布更正公告，则更正公告及其所发布的内容或信息（包括但不限于：招标文件的澄清或修改、现场考察或答疑会的有关事宜等）</w:t>
      </w:r>
      <w:r>
        <w:rPr>
          <w:rFonts w:hint="eastAsia" w:ascii="宋体" w:hAnsi="宋体" w:eastAsia="宋体" w:cs="宋体"/>
          <w:b/>
          <w:bCs/>
          <w:kern w:val="0"/>
          <w:sz w:val="24"/>
          <w:szCs w:val="24"/>
        </w:rPr>
        <w:t>作为招标文件组成部分</w:t>
      </w:r>
      <w:r>
        <w:rPr>
          <w:rFonts w:hint="eastAsia" w:ascii="宋体" w:hAnsi="宋体" w:eastAsia="宋体" w:cs="宋体"/>
          <w:kern w:val="0"/>
          <w:sz w:val="24"/>
          <w:szCs w:val="24"/>
        </w:rPr>
        <w:t>，对投标人具有约束力。</w:t>
      </w:r>
    </w:p>
    <w:p w14:paraId="4E4F3784">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7.2更正公告作为</w:t>
      </w:r>
      <w:r>
        <w:rPr>
          <w:rFonts w:hint="eastAsia" w:ascii="宋体" w:hAnsi="宋体" w:eastAsia="宋体" w:cs="宋体"/>
          <w:kern w:val="0"/>
          <w:sz w:val="24"/>
          <w:szCs w:val="24"/>
          <w:u w:val="single"/>
        </w:rPr>
        <w:t>福建昇华工程造价咨询有限公司</w:t>
      </w:r>
      <w:r>
        <w:rPr>
          <w:rFonts w:hint="eastAsia" w:ascii="宋体" w:hAnsi="宋体" w:eastAsia="宋体" w:cs="宋体"/>
          <w:kern w:val="0"/>
          <w:sz w:val="24"/>
          <w:szCs w:val="24"/>
        </w:rPr>
        <w:t>通知所有潜在投标人的书面形式。</w:t>
      </w:r>
    </w:p>
    <w:p w14:paraId="3801FE9E">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8、终止公告</w:t>
      </w:r>
    </w:p>
    <w:p w14:paraId="66229338">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8.1若出现因重大变故导致采购任务取消情形，福建昇华工程造价咨询有限公司可终止招标并发布终止公告。</w:t>
      </w:r>
    </w:p>
    <w:p w14:paraId="08770662">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8.2终止公告作为福建昇华工程造价咨询有限公司通知所有潜在投标人的书面形式。</w:t>
      </w:r>
    </w:p>
    <w:p w14:paraId="70FD9690">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 </w:t>
      </w:r>
    </w:p>
    <w:p w14:paraId="036E0FFA">
      <w:pPr>
        <w:widowControl/>
        <w:spacing w:before="75" w:after="75"/>
        <w:jc w:val="center"/>
        <w:rPr>
          <w:rFonts w:ascii="宋体" w:hAnsi="宋体" w:eastAsia="宋体" w:cs="宋体"/>
          <w:kern w:val="0"/>
          <w:sz w:val="24"/>
          <w:szCs w:val="24"/>
        </w:rPr>
      </w:pPr>
      <w:r>
        <w:rPr>
          <w:rFonts w:hint="eastAsia" w:ascii="宋体" w:hAnsi="宋体" w:eastAsia="宋体" w:cs="宋体"/>
          <w:b/>
          <w:bCs/>
          <w:kern w:val="0"/>
          <w:sz w:val="24"/>
          <w:szCs w:val="24"/>
        </w:rPr>
        <w:t>四、投标</w:t>
      </w:r>
    </w:p>
    <w:p w14:paraId="7FF567D2">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9、投标</w:t>
      </w:r>
    </w:p>
    <w:p w14:paraId="27CCB8B7">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9.1投标人可对招标文件载明的全部或部分采购包进行投标。</w:t>
      </w:r>
    </w:p>
    <w:p w14:paraId="5ED05021">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9.2投标人应对同一个采购包内的所有内容进行完整投标，否则</w:t>
      </w:r>
      <w:r>
        <w:rPr>
          <w:rFonts w:hint="eastAsia" w:ascii="宋体" w:hAnsi="宋体" w:eastAsia="宋体" w:cs="宋体"/>
          <w:b/>
          <w:bCs/>
          <w:kern w:val="0"/>
          <w:sz w:val="24"/>
          <w:szCs w:val="24"/>
        </w:rPr>
        <w:t>投标无效</w:t>
      </w:r>
      <w:r>
        <w:rPr>
          <w:rFonts w:hint="eastAsia" w:ascii="宋体" w:hAnsi="宋体" w:eastAsia="宋体" w:cs="宋体"/>
          <w:kern w:val="0"/>
          <w:sz w:val="24"/>
          <w:szCs w:val="24"/>
        </w:rPr>
        <w:t>。</w:t>
      </w:r>
    </w:p>
    <w:p w14:paraId="073EE47D">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9.3投标人代表只能接受一个投标人的授权参加投标，否则</w:t>
      </w:r>
      <w:r>
        <w:rPr>
          <w:rFonts w:hint="eastAsia" w:ascii="宋体" w:hAnsi="宋体" w:eastAsia="宋体" w:cs="宋体"/>
          <w:b/>
          <w:bCs/>
          <w:kern w:val="0"/>
          <w:sz w:val="24"/>
          <w:szCs w:val="24"/>
        </w:rPr>
        <w:t>投标无效</w:t>
      </w:r>
      <w:r>
        <w:rPr>
          <w:rFonts w:hint="eastAsia" w:ascii="宋体" w:hAnsi="宋体" w:eastAsia="宋体" w:cs="宋体"/>
          <w:kern w:val="0"/>
          <w:sz w:val="24"/>
          <w:szCs w:val="24"/>
        </w:rPr>
        <w:t>。</w:t>
      </w:r>
    </w:p>
    <w:p w14:paraId="17E6571A">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9.4单位负责人为同一人或存在直接控股、管理关系的不同供应商，不得同时参加同一合同项下的投标，否则</w:t>
      </w:r>
      <w:r>
        <w:rPr>
          <w:rFonts w:hint="eastAsia" w:ascii="宋体" w:hAnsi="宋体" w:eastAsia="宋体" w:cs="宋体"/>
          <w:b/>
          <w:bCs/>
          <w:kern w:val="0"/>
          <w:sz w:val="24"/>
          <w:szCs w:val="24"/>
        </w:rPr>
        <w:t>投标无效</w:t>
      </w:r>
      <w:r>
        <w:rPr>
          <w:rFonts w:hint="eastAsia" w:ascii="宋体" w:hAnsi="宋体" w:eastAsia="宋体" w:cs="宋体"/>
          <w:kern w:val="0"/>
          <w:sz w:val="24"/>
          <w:szCs w:val="24"/>
        </w:rPr>
        <w:t>。</w:t>
      </w:r>
    </w:p>
    <w:p w14:paraId="48E718B8">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9.5为本项目提供整体设计、规范编制或项目管理、监理、检测等服务的供应商，不得参加本项目除整体设计、规范编制和项目管理、监理、检测等服务外的采购活动，否则</w:t>
      </w:r>
      <w:r>
        <w:rPr>
          <w:rFonts w:hint="eastAsia" w:ascii="宋体" w:hAnsi="宋体" w:eastAsia="宋体" w:cs="宋体"/>
          <w:b/>
          <w:bCs/>
          <w:kern w:val="0"/>
          <w:sz w:val="24"/>
          <w:szCs w:val="24"/>
        </w:rPr>
        <w:t>投标无效</w:t>
      </w:r>
      <w:r>
        <w:rPr>
          <w:rFonts w:hint="eastAsia" w:ascii="宋体" w:hAnsi="宋体" w:eastAsia="宋体" w:cs="宋体"/>
          <w:kern w:val="0"/>
          <w:sz w:val="24"/>
          <w:szCs w:val="24"/>
        </w:rPr>
        <w:t>。</w:t>
      </w:r>
    </w:p>
    <w:p w14:paraId="20BEED11">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9.6列入失信被执行人、重大税收违法案件当事人名单、政府采购严重违法失信行为记录名单及其他不符合政府采购法第二十二条规定条件的供应商，不得参加投标，否则</w:t>
      </w:r>
      <w:r>
        <w:rPr>
          <w:rFonts w:hint="eastAsia" w:ascii="宋体" w:hAnsi="宋体" w:eastAsia="宋体" w:cs="宋体"/>
          <w:b/>
          <w:bCs/>
          <w:kern w:val="0"/>
          <w:sz w:val="24"/>
          <w:szCs w:val="24"/>
        </w:rPr>
        <w:t>投标无效</w:t>
      </w:r>
      <w:r>
        <w:rPr>
          <w:rFonts w:hint="eastAsia" w:ascii="宋体" w:hAnsi="宋体" w:eastAsia="宋体" w:cs="宋体"/>
          <w:kern w:val="0"/>
          <w:sz w:val="24"/>
          <w:szCs w:val="24"/>
        </w:rPr>
        <w:t>。</w:t>
      </w:r>
    </w:p>
    <w:p w14:paraId="3079A0F3">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9.7有下列情形之一的，视为投标人串通投标，</w:t>
      </w:r>
      <w:r>
        <w:rPr>
          <w:rFonts w:hint="eastAsia" w:ascii="宋体" w:hAnsi="宋体" w:eastAsia="宋体" w:cs="宋体"/>
          <w:b/>
          <w:bCs/>
          <w:kern w:val="0"/>
          <w:sz w:val="24"/>
          <w:szCs w:val="24"/>
        </w:rPr>
        <w:t>其投标无效：</w:t>
      </w:r>
    </w:p>
    <w:p w14:paraId="4224E57D">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（1）不同投标人的投标文件由同一单位或个人编制；</w:t>
      </w:r>
    </w:p>
    <w:p w14:paraId="3CDB5F58">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（2）不同投标人委托同一单位或个人办理投标事宜；</w:t>
      </w:r>
    </w:p>
    <w:p w14:paraId="28C56DCC">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（3）不同投标人的投标文件载明的项目管理成员或联系人员为同一人；</w:t>
      </w:r>
    </w:p>
    <w:p w14:paraId="472CF510">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（4）不同投标人的投标文件异常一致或投标报价呈规律性差异；</w:t>
      </w:r>
    </w:p>
    <w:p w14:paraId="02E392E2">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（5）不同投标人的投标文件相互混装；</w:t>
      </w:r>
    </w:p>
    <w:p w14:paraId="66DFD005">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（6）不同投标人的投标保证金从同一单位或个人的账户转出；</w:t>
      </w:r>
    </w:p>
    <w:p w14:paraId="0F6B9DAE">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（7）有关法律、法规和规章及招标文件规定的其他串通投标情形。</w:t>
      </w:r>
    </w:p>
    <w:p w14:paraId="737DCE2D">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10、投标文件</w:t>
      </w:r>
    </w:p>
    <w:p w14:paraId="6F413DE1">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10.1投标文件的编制</w:t>
      </w:r>
    </w:p>
    <w:p w14:paraId="5CBEE548">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（1）投标人应先仔细阅读招标文件的全部内容后，再进行投标文件的编制。</w:t>
      </w:r>
    </w:p>
    <w:p w14:paraId="1E1AFCEF">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（2）投标文件应按照本章第</w:t>
      </w:r>
      <w:r>
        <w:rPr>
          <w:rFonts w:ascii="Calibri" w:hAnsi="Calibri" w:eastAsia="宋体" w:cs="Calibri"/>
          <w:kern w:val="0"/>
          <w:sz w:val="24"/>
          <w:szCs w:val="24"/>
        </w:rPr>
        <w:t>10.2</w:t>
      </w:r>
      <w:r>
        <w:rPr>
          <w:rFonts w:hint="eastAsia" w:ascii="宋体" w:hAnsi="宋体" w:eastAsia="宋体" w:cs="宋体"/>
          <w:kern w:val="0"/>
          <w:sz w:val="24"/>
          <w:szCs w:val="24"/>
        </w:rPr>
        <w:t>条规定编制其组成部分。</w:t>
      </w:r>
    </w:p>
    <w:p w14:paraId="4A5FB37F">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（3）投标文件应满足招标文件提出的实质性要求和条件，并保证其所提交的全部资料是不可割离且真实、有效、准确、完整和不具有任何误导性的，否则造成不利后果由投标人承担责任。</w:t>
      </w:r>
    </w:p>
    <w:p w14:paraId="19A09C6F">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10.2投标文件由下述部分组成：</w:t>
      </w:r>
    </w:p>
    <w:p w14:paraId="0722B37B">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（1）资格及资信证明部分</w:t>
      </w:r>
    </w:p>
    <w:p w14:paraId="20B86EF2">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①投标函</w:t>
      </w:r>
    </w:p>
    <w:p w14:paraId="4519DD63">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②投标人的资格及资信证明文件</w:t>
      </w:r>
    </w:p>
    <w:p w14:paraId="28647A0F">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③投标保证金</w:t>
      </w:r>
    </w:p>
    <w:p w14:paraId="5E84DD60">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（2）报价部分</w:t>
      </w:r>
    </w:p>
    <w:p w14:paraId="46013031">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①开标一览表</w:t>
      </w:r>
    </w:p>
    <w:p w14:paraId="6C4E9BF7">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②投标分项报价表</w:t>
      </w:r>
    </w:p>
    <w:p w14:paraId="3CB53CFF">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③招标文件规定的价格扣除证明材料（若有）</w:t>
      </w:r>
    </w:p>
    <w:p w14:paraId="0993AEFE">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④招标文件规定的加分证明材料（若有）</w:t>
      </w:r>
    </w:p>
    <w:p w14:paraId="79A622C5">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（3）技术商务部分</w:t>
      </w:r>
    </w:p>
    <w:p w14:paraId="00C4AD51">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①标的说明一览表</w:t>
      </w:r>
    </w:p>
    <w:p w14:paraId="1E575607">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②技术和服务要求响应表</w:t>
      </w:r>
    </w:p>
    <w:p w14:paraId="1A303484">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③商务条件响应表</w:t>
      </w:r>
    </w:p>
    <w:p w14:paraId="3ACA343A">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④投标人提交的其他资料（若有）</w:t>
      </w:r>
    </w:p>
    <w:p w14:paraId="68498756">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⑤招标文件规定作为投标文件组成部分的其他内容（若有）</w:t>
      </w:r>
    </w:p>
    <w:p w14:paraId="417D9B81">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10.3投标文件的语言</w:t>
      </w:r>
    </w:p>
    <w:p w14:paraId="1F77E6B7">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（1）除招标文件另有规定外，投标文件应使用中文文本，若有不同文本，以中文文本为准。</w:t>
      </w:r>
    </w:p>
    <w:p w14:paraId="0325E47B">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2）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6A165143">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10.4投标文件的份数：详见招标文件第二章。</w:t>
      </w:r>
    </w:p>
    <w:p w14:paraId="28274076">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10.5投标文件的格式</w:t>
      </w:r>
    </w:p>
    <w:p w14:paraId="4D254381">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（1）除招标文件另有规定外，投标文件应使用招标文件第七章规定的格式。</w:t>
      </w:r>
    </w:p>
    <w:p w14:paraId="3741D6CD">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（2）除招标文件另有规定外，投标文件应使用不能擦去的墨料或墨水打印、书写或复印。</w:t>
      </w:r>
    </w:p>
    <w:p w14:paraId="2B0961B6">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（3）除招标文件另有规定外，投标文件应使用人民币作为计量货币。</w:t>
      </w:r>
    </w:p>
    <w:p w14:paraId="26967459">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（4）除招标文件另有规定外，签署、盖章应遵守下列规定：</w:t>
      </w:r>
    </w:p>
    <w:p w14:paraId="3D94A7C6">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①投标文件应加盖投标人的单位公章。若投标人代表为单位授权的委托代理人，应提供“单位授权书”。</w:t>
      </w:r>
    </w:p>
    <w:p w14:paraId="40DBDBD8">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②投标文件应没有涂改或行间插字，除非这些改动是根据</w:t>
      </w:r>
      <w:r>
        <w:rPr>
          <w:rFonts w:hint="eastAsia" w:ascii="宋体" w:hAnsi="宋体" w:eastAsia="宋体" w:cs="宋体"/>
          <w:kern w:val="0"/>
          <w:sz w:val="24"/>
          <w:szCs w:val="24"/>
          <w:u w:val="single"/>
        </w:rPr>
        <w:t>福建昇华工程造价咨询有限公司</w:t>
      </w:r>
      <w:r>
        <w:rPr>
          <w:rFonts w:hint="eastAsia" w:ascii="宋体" w:hAnsi="宋体" w:eastAsia="宋体" w:cs="宋体"/>
          <w:kern w:val="0"/>
          <w:sz w:val="24"/>
          <w:szCs w:val="24"/>
        </w:rPr>
        <w:t>的指示进行的，或是为改正投标人造成的应修改的错误而进行的。若有前述改动，应按照下列规定之一对改动处进行处理：</w:t>
      </w:r>
    </w:p>
    <w:p w14:paraId="51396F8A">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a.投标人代表签字确认；</w:t>
      </w:r>
    </w:p>
    <w:p w14:paraId="5E5C34AF">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b.加盖投标人的单位公章或校正章。</w:t>
      </w:r>
    </w:p>
    <w:p w14:paraId="1C56B0A0">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10.6投标报价</w:t>
      </w:r>
    </w:p>
    <w:p w14:paraId="247B28B3">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（1）投标报价超出最高限价将导致</w:t>
      </w:r>
      <w:r>
        <w:rPr>
          <w:rFonts w:hint="eastAsia" w:ascii="宋体" w:hAnsi="宋体" w:eastAsia="宋体" w:cs="宋体"/>
          <w:b/>
          <w:bCs/>
          <w:kern w:val="0"/>
          <w:sz w:val="24"/>
          <w:szCs w:val="24"/>
        </w:rPr>
        <w:t>投标无效。</w:t>
      </w:r>
    </w:p>
    <w:p w14:paraId="3FF15F8E">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（2）最高限价由采购人根据价格测算情况，在预算金额的额度内合理设定。最高限价不得超出预算金额。</w:t>
      </w:r>
    </w:p>
    <w:p w14:paraId="02EB9DAE">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（3）除招标文件另有规定外，投标文件不能出现任何选择性的投标报价，即每一个采购包和品目号的采购标的都只能有一个投标报价。任何选择性的投标报价将导致</w:t>
      </w:r>
      <w:r>
        <w:rPr>
          <w:rFonts w:hint="eastAsia" w:ascii="宋体" w:hAnsi="宋体" w:eastAsia="宋体" w:cs="宋体"/>
          <w:b/>
          <w:bCs/>
          <w:kern w:val="0"/>
          <w:sz w:val="24"/>
          <w:szCs w:val="24"/>
        </w:rPr>
        <w:t>投标无效。</w:t>
      </w:r>
    </w:p>
    <w:p w14:paraId="7C2A4FAB">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10.7分包</w:t>
      </w:r>
    </w:p>
    <w:p w14:paraId="3367B76F">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（1）是否允许中标人将本项目的非主体、非关键性工作进行分包：详见招标文件第二章。</w:t>
      </w:r>
    </w:p>
    <w:p w14:paraId="1F8080C6">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2）若允许中标人将本项目的非主体、非关键性工作进行分包且投标人拟在中标后进行分包，则应在投标文件中提供分包意向协议，同时投标人应在投标文件中载明分包承担主体，分包承担主体应具备相应资质条件（若有）且不得再次分包。</w:t>
      </w:r>
    </w:p>
    <w:p w14:paraId="62647C04">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（3）招标文件允许中标人将非主体、非关键性工作进行分包的项目，有下列情形之一的，中标人不得分包：</w:t>
      </w:r>
    </w:p>
    <w:p w14:paraId="3EA71F9B">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①投标文件中未载明分包承担主体；</w:t>
      </w:r>
    </w:p>
    <w:p w14:paraId="5EC960D1">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②投标文件载明的分包承担主体不具备相应资质条件；</w:t>
      </w:r>
    </w:p>
    <w:p w14:paraId="393A7700">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③投标文件载明的分包承担主体拟再次分包；</w:t>
      </w:r>
      <w:r>
        <w:rPr>
          <w:rFonts w:hint="eastAsia" w:ascii="宋体" w:hAnsi="宋体" w:eastAsia="宋体" w:cs="宋体"/>
          <w:kern w:val="0"/>
          <w:sz w:val="24"/>
          <w:szCs w:val="24"/>
        </w:rPr>
        <w:br w:type="textWrapping"/>
      </w:r>
    </w:p>
    <w:p w14:paraId="1FB870AD">
      <w:pPr>
        <w:widowControl/>
        <w:spacing w:after="150"/>
        <w:jc w:val="left"/>
        <w:rPr>
          <w:rFonts w:ascii="宋体" w:hAnsi="宋体" w:eastAsia="宋体" w:cs="宋体"/>
          <w:kern w:val="0"/>
          <w:sz w:val="24"/>
          <w:szCs w:val="24"/>
        </w:rPr>
      </w:pPr>
      <w:r>
        <w:rPr>
          <w:rFonts w:hint="eastAsia" w:ascii="宋体" w:hAnsi="宋体" w:eastAsia="宋体" w:cs="宋体"/>
          <w:kern w:val="0"/>
          <w:sz w:val="24"/>
          <w:szCs w:val="24"/>
        </w:rPr>
        <w:t>  ④享受中小企业扶持政策获得政府采购合同的，小微企业不得将合同分包给大中型企业，中型企业不得将合同分包给大型企业。</w:t>
      </w:r>
    </w:p>
    <w:p w14:paraId="1658EBDD">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10.8投标有效期</w:t>
      </w:r>
    </w:p>
    <w:p w14:paraId="6C1A9B79">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（1）招标文件载明的投标有效期：详见招标文件第二章。</w:t>
      </w:r>
    </w:p>
    <w:p w14:paraId="64864E5C">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（2）投标文件承诺的投标有效期不得少于招标文件载明的投标有效期，否则</w:t>
      </w:r>
      <w:r>
        <w:rPr>
          <w:rFonts w:hint="eastAsia" w:ascii="宋体" w:hAnsi="宋体" w:eastAsia="宋体" w:cs="宋体"/>
          <w:b/>
          <w:bCs/>
          <w:kern w:val="0"/>
          <w:sz w:val="24"/>
          <w:szCs w:val="24"/>
        </w:rPr>
        <w:t>投标无效</w:t>
      </w:r>
      <w:r>
        <w:rPr>
          <w:rFonts w:hint="eastAsia" w:ascii="宋体" w:hAnsi="宋体" w:eastAsia="宋体" w:cs="宋体"/>
          <w:kern w:val="0"/>
          <w:sz w:val="24"/>
          <w:szCs w:val="24"/>
        </w:rPr>
        <w:t>。</w:t>
      </w:r>
    </w:p>
    <w:p w14:paraId="61E1BAE1">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（3）根据本次采购活动的需要，</w:t>
      </w:r>
      <w:r>
        <w:rPr>
          <w:rFonts w:hint="eastAsia" w:ascii="宋体" w:hAnsi="宋体" w:eastAsia="宋体" w:cs="宋体"/>
          <w:kern w:val="0"/>
          <w:sz w:val="24"/>
          <w:szCs w:val="24"/>
          <w:u w:val="single"/>
        </w:rPr>
        <w:t>福建昇华工程造价咨询有限公司</w:t>
      </w:r>
      <w:r>
        <w:rPr>
          <w:rFonts w:hint="eastAsia" w:ascii="宋体" w:hAnsi="宋体" w:eastAsia="宋体" w:cs="宋体"/>
          <w:kern w:val="0"/>
          <w:sz w:val="24"/>
          <w:szCs w:val="24"/>
        </w:rPr>
        <w:t>可于投标有效期届满之前书面要求投标人延长投标有效期，投标人应在</w:t>
      </w:r>
      <w:r>
        <w:rPr>
          <w:rFonts w:hint="eastAsia" w:ascii="宋体" w:hAnsi="宋体" w:eastAsia="宋体" w:cs="宋体"/>
          <w:kern w:val="0"/>
          <w:sz w:val="24"/>
          <w:szCs w:val="24"/>
          <w:u w:val="single"/>
        </w:rPr>
        <w:t>福建昇华工程造价咨询有限公司</w:t>
      </w:r>
      <w:r>
        <w:rPr>
          <w:rFonts w:hint="eastAsia" w:ascii="宋体" w:hAnsi="宋体" w:eastAsia="宋体" w:cs="宋体"/>
          <w:kern w:val="0"/>
          <w:sz w:val="24"/>
          <w:szCs w:val="24"/>
        </w:rPr>
        <w:t>规定的期限内以书面形式予以答复。对于延长投标有效期的要求，投标人可以拒绝也可以接受，投标人答复不明确或逾期未答复的，均视为拒绝该要求。对于接受延长投标有效期的投标人，既不要求也不允许修改投标文件。</w:t>
      </w:r>
    </w:p>
    <w:p w14:paraId="7E505E12">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10.9投标保证金</w:t>
      </w:r>
    </w:p>
    <w:p w14:paraId="6E85F182">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（1）投标保证金作为投标人按照招标文件规定履行相应投标责任、义务的约束及担保。</w:t>
      </w:r>
    </w:p>
    <w:p w14:paraId="59C50FD5">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（2）投标保证金的有效期应与投标文件承诺的投标有效期保持一致，否则</w:t>
      </w:r>
      <w:r>
        <w:rPr>
          <w:rFonts w:hint="eastAsia" w:ascii="宋体" w:hAnsi="宋体" w:eastAsia="宋体" w:cs="宋体"/>
          <w:b/>
          <w:bCs/>
          <w:kern w:val="0"/>
          <w:sz w:val="24"/>
          <w:szCs w:val="24"/>
        </w:rPr>
        <w:t>投标无效</w:t>
      </w:r>
      <w:r>
        <w:rPr>
          <w:rFonts w:hint="eastAsia" w:ascii="宋体" w:hAnsi="宋体" w:eastAsia="宋体" w:cs="宋体"/>
          <w:kern w:val="0"/>
          <w:sz w:val="24"/>
          <w:szCs w:val="24"/>
        </w:rPr>
        <w:t>。</w:t>
      </w:r>
    </w:p>
    <w:p w14:paraId="28410C0F">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（3）提交</w:t>
      </w:r>
    </w:p>
    <w:p w14:paraId="1CB61FBD">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①投标人应从其银行账户</w:t>
      </w:r>
      <w:r>
        <w:rPr>
          <w:rFonts w:hint="eastAsia" w:ascii="宋体" w:hAnsi="宋体" w:eastAsia="宋体" w:cs="宋体"/>
          <w:b/>
          <w:bCs/>
          <w:kern w:val="0"/>
          <w:sz w:val="24"/>
          <w:szCs w:val="24"/>
        </w:rPr>
        <w:t>（基本存款账户）</w:t>
      </w:r>
      <w:r>
        <w:rPr>
          <w:rFonts w:hint="eastAsia" w:ascii="宋体" w:hAnsi="宋体" w:eastAsia="宋体" w:cs="宋体"/>
          <w:kern w:val="0"/>
          <w:sz w:val="24"/>
          <w:szCs w:val="24"/>
        </w:rPr>
        <w:t>按照下列方式：</w:t>
      </w:r>
      <w:r>
        <w:rPr>
          <w:rFonts w:hint="eastAsia" w:ascii="宋体" w:hAnsi="宋体" w:eastAsia="宋体" w:cs="宋体"/>
          <w:b/>
          <w:bCs/>
          <w:kern w:val="0"/>
          <w:sz w:val="24"/>
          <w:szCs w:val="24"/>
        </w:rPr>
        <w:t>公对公转账方式</w:t>
      </w:r>
      <w:r>
        <w:rPr>
          <w:rFonts w:hint="eastAsia" w:ascii="宋体" w:hAnsi="宋体" w:eastAsia="宋体" w:cs="宋体"/>
          <w:kern w:val="0"/>
          <w:sz w:val="24"/>
          <w:szCs w:val="24"/>
        </w:rPr>
        <w:t>向招标文件载明的投标保证金账户提交投标保证金，具体金额详见招标文件第一章。</w:t>
      </w:r>
    </w:p>
    <w:p w14:paraId="354FC557">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②投标保证金应于投标截止时间前到达招标文件载明的投标保证金账户，否则视为投标保证金未提交；是否到达按照下列方式认定：</w:t>
      </w:r>
      <w:r>
        <w:rPr>
          <w:rFonts w:hint="eastAsia" w:ascii="宋体" w:hAnsi="宋体" w:eastAsia="宋体" w:cs="宋体"/>
          <w:b/>
          <w:bCs/>
          <w:kern w:val="0"/>
          <w:sz w:val="24"/>
          <w:szCs w:val="24"/>
        </w:rPr>
        <w:t>以福建省政府采购网上公开信息系统记载的为准。</w:t>
      </w:r>
    </w:p>
    <w:p w14:paraId="715DCB48">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③若本项目接受联合体投标且投标人为联合体，则联合体中的牵头方应按照本章第</w:t>
      </w:r>
      <w:r>
        <w:rPr>
          <w:rFonts w:ascii="Calibri" w:hAnsi="Calibri" w:eastAsia="宋体" w:cs="Calibri"/>
          <w:kern w:val="0"/>
          <w:sz w:val="24"/>
          <w:szCs w:val="24"/>
        </w:rPr>
        <w:t>10.9</w:t>
      </w:r>
      <w:r>
        <w:rPr>
          <w:rFonts w:hint="eastAsia" w:ascii="宋体" w:hAnsi="宋体" w:eastAsia="宋体" w:cs="宋体"/>
          <w:kern w:val="0"/>
          <w:sz w:val="24"/>
          <w:szCs w:val="24"/>
        </w:rPr>
        <w:t>条第（</w:t>
      </w:r>
      <w:r>
        <w:rPr>
          <w:rFonts w:ascii="Calibri" w:hAnsi="Calibri" w:eastAsia="宋体" w:cs="Calibri"/>
          <w:kern w:val="0"/>
          <w:sz w:val="24"/>
          <w:szCs w:val="24"/>
        </w:rPr>
        <w:t>3</w:t>
      </w:r>
      <w:r>
        <w:rPr>
          <w:rFonts w:hint="eastAsia" w:ascii="宋体" w:hAnsi="宋体" w:eastAsia="宋体" w:cs="宋体"/>
          <w:kern w:val="0"/>
          <w:sz w:val="24"/>
          <w:szCs w:val="24"/>
        </w:rPr>
        <w:t>）款第①、②点规定提交投标保证金。</w:t>
      </w:r>
    </w:p>
    <w:p w14:paraId="5EAEBCE7">
      <w:pPr>
        <w:widowControl/>
        <w:spacing w:before="75" w:after="75"/>
        <w:ind w:firstLine="480"/>
        <w:jc w:val="left"/>
        <w:rPr>
          <w:rFonts w:ascii="宋体" w:hAnsi="宋体" w:eastAsia="宋体" w:cs="宋体"/>
          <w:kern w:val="0"/>
          <w:sz w:val="24"/>
          <w:szCs w:val="24"/>
        </w:rPr>
      </w:pPr>
      <w:r>
        <w:rPr>
          <w:rFonts w:hint="eastAsia" w:ascii="宋体" w:hAnsi="宋体" w:eastAsia="宋体" w:cs="宋体"/>
          <w:b/>
          <w:bCs/>
          <w:kern w:val="0"/>
          <w:sz w:val="24"/>
          <w:szCs w:val="24"/>
        </w:rPr>
        <w:t>※除招标文件另有规定外，未按照上述规定提交投标保证金将导致资格审查不合格。</w:t>
      </w:r>
    </w:p>
    <w:p w14:paraId="37786142">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（4）退还</w:t>
      </w:r>
    </w:p>
    <w:p w14:paraId="09CA263B">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①在投标截止时间前撤回已提交的投标文件的投标人，其投标保证金将在</w:t>
      </w:r>
      <w:r>
        <w:rPr>
          <w:rFonts w:hint="eastAsia" w:ascii="宋体" w:hAnsi="宋体" w:eastAsia="宋体" w:cs="宋体"/>
          <w:kern w:val="0"/>
          <w:sz w:val="24"/>
          <w:szCs w:val="24"/>
          <w:u w:val="single"/>
        </w:rPr>
        <w:t>福建昇华工程造价咨询有限公司</w:t>
      </w:r>
      <w:r>
        <w:rPr>
          <w:rFonts w:hint="eastAsia" w:ascii="宋体" w:hAnsi="宋体" w:eastAsia="宋体" w:cs="宋体"/>
          <w:kern w:val="0"/>
          <w:sz w:val="24"/>
          <w:szCs w:val="24"/>
        </w:rPr>
        <w:t>收到投标人书面撤回通知之日起5个工作日内退回原账户。</w:t>
      </w:r>
    </w:p>
    <w:p w14:paraId="3F9D2216">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②未中标人的投标保证金将在中标通知书发出之日起</w:t>
      </w:r>
      <w:r>
        <w:rPr>
          <w:rFonts w:ascii="Calibri" w:hAnsi="Calibri" w:eastAsia="宋体" w:cs="Calibri"/>
          <w:kern w:val="0"/>
          <w:sz w:val="24"/>
          <w:szCs w:val="24"/>
        </w:rPr>
        <w:t>5</w:t>
      </w:r>
      <w:r>
        <w:rPr>
          <w:rFonts w:hint="eastAsia" w:ascii="宋体" w:hAnsi="宋体" w:eastAsia="宋体" w:cs="宋体"/>
          <w:kern w:val="0"/>
          <w:sz w:val="24"/>
          <w:szCs w:val="24"/>
        </w:rPr>
        <w:t>个工作日内退回原账户。</w:t>
      </w:r>
    </w:p>
    <w:p w14:paraId="2A5A3821">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③中标人的投标保证金将在政府采购合同签订之日起</w:t>
      </w:r>
      <w:r>
        <w:rPr>
          <w:rFonts w:ascii="Calibri" w:hAnsi="Calibri" w:eastAsia="宋体" w:cs="Calibri"/>
          <w:kern w:val="0"/>
          <w:sz w:val="24"/>
          <w:szCs w:val="24"/>
        </w:rPr>
        <w:t>5</w:t>
      </w:r>
      <w:r>
        <w:rPr>
          <w:rFonts w:hint="eastAsia" w:ascii="宋体" w:hAnsi="宋体" w:eastAsia="宋体" w:cs="宋体"/>
          <w:kern w:val="0"/>
          <w:sz w:val="24"/>
          <w:szCs w:val="24"/>
        </w:rPr>
        <w:t>个工作日内退回原账户；合同签订之日</w:t>
      </w:r>
      <w:r>
        <w:rPr>
          <w:rFonts w:hint="eastAsia" w:ascii="宋体" w:hAnsi="宋体" w:eastAsia="宋体" w:cs="宋体"/>
          <w:b/>
          <w:bCs/>
          <w:kern w:val="0"/>
          <w:sz w:val="24"/>
          <w:szCs w:val="24"/>
        </w:rPr>
        <w:t>以福建省政府采购网上公开信息系统记载的为准。</w:t>
      </w:r>
    </w:p>
    <w:p w14:paraId="55783CDD">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④终止招标的，</w:t>
      </w:r>
      <w:r>
        <w:rPr>
          <w:rFonts w:hint="eastAsia" w:ascii="宋体" w:hAnsi="宋体" w:eastAsia="宋体" w:cs="宋体"/>
          <w:kern w:val="0"/>
          <w:sz w:val="24"/>
          <w:szCs w:val="24"/>
          <w:u w:val="single"/>
        </w:rPr>
        <w:t>福建昇华工程造价咨询有限公司</w:t>
      </w:r>
      <w:r>
        <w:rPr>
          <w:rFonts w:hint="eastAsia" w:ascii="宋体" w:hAnsi="宋体" w:eastAsia="宋体" w:cs="宋体"/>
          <w:kern w:val="0"/>
          <w:sz w:val="24"/>
          <w:szCs w:val="24"/>
        </w:rPr>
        <w:t>将在终止公告发布之日起5个工作日内退回已收取的投标保证金及其在银行产生的孳息。</w:t>
      </w:r>
    </w:p>
    <w:p w14:paraId="2E74E54F">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⑤除招标文件另有规定外，质疑或投诉涉及的投标人，若投标保证金尚未退还，则待质疑或投诉处理完毕后不计利息原额退还。</w:t>
      </w:r>
    </w:p>
    <w:p w14:paraId="7FED3A44">
      <w:pPr>
        <w:widowControl/>
        <w:spacing w:before="75" w:after="75"/>
        <w:ind w:firstLine="480"/>
        <w:jc w:val="left"/>
        <w:rPr>
          <w:rFonts w:ascii="宋体" w:hAnsi="宋体" w:eastAsia="宋体" w:cs="宋体"/>
          <w:kern w:val="0"/>
          <w:sz w:val="24"/>
          <w:szCs w:val="24"/>
        </w:rPr>
      </w:pPr>
      <w:r>
        <w:rPr>
          <w:rFonts w:hint="eastAsia" w:ascii="宋体" w:hAnsi="宋体" w:eastAsia="宋体" w:cs="宋体"/>
          <w:b/>
          <w:bCs/>
          <w:kern w:val="0"/>
          <w:sz w:val="24"/>
          <w:szCs w:val="24"/>
        </w:rPr>
        <w:t>※本章第</w:t>
      </w:r>
      <w:r>
        <w:rPr>
          <w:rFonts w:ascii="Calibri" w:hAnsi="Calibri" w:eastAsia="宋体" w:cs="Calibri"/>
          <w:b/>
          <w:bCs/>
          <w:kern w:val="0"/>
          <w:sz w:val="24"/>
          <w:szCs w:val="24"/>
        </w:rPr>
        <w:t>10.9</w:t>
      </w:r>
      <w:r>
        <w:rPr>
          <w:rFonts w:hint="eastAsia" w:ascii="宋体" w:hAnsi="宋体" w:eastAsia="宋体" w:cs="宋体"/>
          <w:b/>
          <w:bCs/>
          <w:kern w:val="0"/>
          <w:sz w:val="24"/>
          <w:szCs w:val="24"/>
        </w:rPr>
        <w:t>条第（</w:t>
      </w:r>
      <w:r>
        <w:rPr>
          <w:rFonts w:ascii="Calibri" w:hAnsi="Calibri" w:eastAsia="宋体" w:cs="Calibri"/>
          <w:b/>
          <w:bCs/>
          <w:kern w:val="0"/>
          <w:sz w:val="24"/>
          <w:szCs w:val="24"/>
        </w:rPr>
        <w:t>4</w:t>
      </w:r>
      <w:r>
        <w:rPr>
          <w:rFonts w:hint="eastAsia" w:ascii="宋体" w:hAnsi="宋体" w:eastAsia="宋体" w:cs="宋体"/>
          <w:b/>
          <w:bCs/>
          <w:kern w:val="0"/>
          <w:sz w:val="24"/>
          <w:szCs w:val="24"/>
        </w:rPr>
        <w:t>）款第①、②、③点规定的投标保证金退还时限不包括因投标人自身原因导致无法及时退还而增加的时间。</w:t>
      </w:r>
    </w:p>
    <w:p w14:paraId="5310CB21">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（5）若出现本章第</w:t>
      </w:r>
      <w:r>
        <w:rPr>
          <w:rFonts w:ascii="Calibri" w:hAnsi="Calibri" w:eastAsia="宋体" w:cs="Calibri"/>
          <w:kern w:val="0"/>
          <w:sz w:val="24"/>
          <w:szCs w:val="24"/>
        </w:rPr>
        <w:t>10.8</w:t>
      </w:r>
      <w:r>
        <w:rPr>
          <w:rFonts w:hint="eastAsia" w:ascii="宋体" w:hAnsi="宋体" w:eastAsia="宋体" w:cs="宋体"/>
          <w:kern w:val="0"/>
          <w:sz w:val="24"/>
          <w:szCs w:val="24"/>
        </w:rPr>
        <w:t>条第（</w:t>
      </w:r>
      <w:r>
        <w:rPr>
          <w:rFonts w:ascii="Calibri" w:hAnsi="Calibri" w:eastAsia="宋体" w:cs="Calibri"/>
          <w:kern w:val="0"/>
          <w:sz w:val="24"/>
          <w:szCs w:val="24"/>
        </w:rPr>
        <w:t>3</w:t>
      </w:r>
      <w:r>
        <w:rPr>
          <w:rFonts w:hint="eastAsia" w:ascii="宋体" w:hAnsi="宋体" w:eastAsia="宋体" w:cs="宋体"/>
          <w:kern w:val="0"/>
          <w:sz w:val="24"/>
          <w:szCs w:val="24"/>
        </w:rPr>
        <w:t>）款规定情形，对于拒绝延长投标有效期的投标人，投标保证金仍可退还。对于接受延长投标有效期的投标人，相应延长投标保证金有效期，招标文件关于退还和不予退还投标保证金的规定继续适用。</w:t>
      </w:r>
    </w:p>
    <w:p w14:paraId="52ED273D">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（6）有下列情形之一的，投标保证金将不予退还：</w:t>
      </w:r>
    </w:p>
    <w:p w14:paraId="300CDF52">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①投标人串通投标；</w:t>
      </w:r>
    </w:p>
    <w:p w14:paraId="5A06E3D3">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②投标人提供虚假材料；</w:t>
      </w:r>
    </w:p>
    <w:p w14:paraId="7D281AA8">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③投标人采取不正当手段诋毁、排挤其他投标人；</w:t>
      </w:r>
    </w:p>
    <w:p w14:paraId="380E4276">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④投标截止时间后，投标人在投标有效期内撤销投标文件；</w:t>
      </w:r>
    </w:p>
    <w:p w14:paraId="242F80D9">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⑤招标文件规定的其他不予退还情形；</w:t>
      </w:r>
    </w:p>
    <w:p w14:paraId="6C2D3BEB">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⑥中标人有下列情形之一的：</w:t>
      </w:r>
    </w:p>
    <w:p w14:paraId="23B6503A">
      <w:pPr>
        <w:widowControl/>
        <w:spacing w:before="75" w:after="75"/>
        <w:ind w:firstLine="480"/>
        <w:jc w:val="left"/>
        <w:rPr>
          <w:rFonts w:ascii="宋体" w:hAnsi="宋体" w:eastAsia="宋体" w:cs="宋体"/>
          <w:kern w:val="0"/>
          <w:sz w:val="24"/>
          <w:szCs w:val="24"/>
        </w:rPr>
      </w:pPr>
      <w:r>
        <w:rPr>
          <w:rFonts w:ascii="Calibri" w:hAnsi="Calibri" w:eastAsia="宋体" w:cs="Calibri"/>
          <w:kern w:val="0"/>
          <w:sz w:val="24"/>
          <w:szCs w:val="24"/>
        </w:rPr>
        <w:t>a</w:t>
      </w:r>
      <w:r>
        <w:rPr>
          <w:rFonts w:hint="eastAsia" w:ascii="宋体" w:hAnsi="宋体" w:eastAsia="宋体" w:cs="宋体"/>
          <w:kern w:val="0"/>
          <w:sz w:val="24"/>
          <w:szCs w:val="24"/>
        </w:rPr>
        <w:t>.除不可抗力外，因中标人自身原因未在中标通知书要求的期限内与采购人签订政府采购合同；</w:t>
      </w:r>
    </w:p>
    <w:p w14:paraId="6276DE0D">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b.未按照招标文件、投标文件的约定签订政府采购合同或提交履约保证金。</w:t>
      </w:r>
    </w:p>
    <w:p w14:paraId="4F850337">
      <w:pPr>
        <w:widowControl/>
        <w:spacing w:before="75" w:after="75"/>
        <w:ind w:firstLine="480"/>
        <w:jc w:val="left"/>
        <w:rPr>
          <w:rFonts w:ascii="宋体" w:hAnsi="宋体" w:eastAsia="宋体" w:cs="宋体"/>
          <w:kern w:val="0"/>
          <w:sz w:val="24"/>
          <w:szCs w:val="24"/>
        </w:rPr>
      </w:pPr>
      <w:r>
        <w:rPr>
          <w:rFonts w:hint="eastAsia" w:ascii="宋体" w:hAnsi="宋体" w:eastAsia="宋体" w:cs="宋体"/>
          <w:b/>
          <w:bCs/>
          <w:kern w:val="0"/>
          <w:sz w:val="24"/>
          <w:szCs w:val="24"/>
        </w:rPr>
        <w:t>※若上述投标保证金不予退还情形给采购人（采购代理机构）造成损失，则投标人还要承担相应的赔偿责任。</w:t>
      </w:r>
    </w:p>
    <w:p w14:paraId="7044089C">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10.10投标文件的提交</w:t>
      </w:r>
    </w:p>
    <w:p w14:paraId="07D18049">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（1）一个投标人只能提交一个投标文件，并按照招标文件第一章规定将其送达。</w:t>
      </w:r>
    </w:p>
    <w:p w14:paraId="6C5EDA04">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10.11投标文件的补充、修改或撤回</w:t>
      </w:r>
    </w:p>
    <w:p w14:paraId="3DD8861B">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（1）投标截止时间前，投标人可对所提交的投标文件进行补充、修改或撤回，并书面通知</w:t>
      </w:r>
      <w:r>
        <w:rPr>
          <w:rFonts w:hint="eastAsia" w:ascii="宋体" w:hAnsi="宋体" w:eastAsia="宋体" w:cs="宋体"/>
          <w:kern w:val="0"/>
          <w:sz w:val="24"/>
          <w:szCs w:val="24"/>
          <w:u w:val="single"/>
        </w:rPr>
        <w:t>福建昇华工程造价咨询有限公司</w:t>
      </w:r>
      <w:r>
        <w:rPr>
          <w:rFonts w:hint="eastAsia" w:ascii="宋体" w:hAnsi="宋体" w:eastAsia="宋体" w:cs="宋体"/>
          <w:kern w:val="0"/>
          <w:sz w:val="24"/>
          <w:szCs w:val="24"/>
        </w:rPr>
        <w:t>。</w:t>
      </w:r>
    </w:p>
    <w:p w14:paraId="35AC7B21">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（2）补充、修改的内容应按照本章第</w:t>
      </w:r>
      <w:r>
        <w:rPr>
          <w:rFonts w:ascii="Calibri" w:hAnsi="Calibri" w:eastAsia="宋体" w:cs="Calibri"/>
          <w:kern w:val="0"/>
          <w:sz w:val="24"/>
          <w:szCs w:val="24"/>
        </w:rPr>
        <w:t>10.5</w:t>
      </w:r>
      <w:r>
        <w:rPr>
          <w:rFonts w:hint="eastAsia" w:ascii="宋体" w:hAnsi="宋体" w:eastAsia="宋体" w:cs="宋体"/>
          <w:kern w:val="0"/>
          <w:sz w:val="24"/>
          <w:szCs w:val="24"/>
        </w:rPr>
        <w:t>条第（</w:t>
      </w:r>
      <w:r>
        <w:rPr>
          <w:rFonts w:ascii="Calibri" w:hAnsi="Calibri" w:eastAsia="宋体" w:cs="Calibri"/>
          <w:kern w:val="0"/>
          <w:sz w:val="24"/>
          <w:szCs w:val="24"/>
        </w:rPr>
        <w:t>4</w:t>
      </w:r>
      <w:r>
        <w:rPr>
          <w:rFonts w:hint="eastAsia" w:ascii="宋体" w:hAnsi="宋体" w:eastAsia="宋体" w:cs="宋体"/>
          <w:kern w:val="0"/>
          <w:sz w:val="24"/>
          <w:szCs w:val="24"/>
        </w:rPr>
        <w:t>）款规定进行签署、盖章，并按照本章第</w:t>
      </w:r>
      <w:r>
        <w:rPr>
          <w:rFonts w:ascii="Calibri" w:hAnsi="Calibri" w:eastAsia="宋体" w:cs="Calibri"/>
          <w:kern w:val="0"/>
          <w:sz w:val="24"/>
          <w:szCs w:val="24"/>
        </w:rPr>
        <w:t>10.10</w:t>
      </w:r>
      <w:r>
        <w:rPr>
          <w:rFonts w:hint="eastAsia" w:ascii="宋体" w:hAnsi="宋体" w:eastAsia="宋体" w:cs="宋体"/>
          <w:kern w:val="0"/>
          <w:sz w:val="24"/>
          <w:szCs w:val="24"/>
        </w:rPr>
        <w:t>条规定提交，</w:t>
      </w:r>
      <w:r>
        <w:rPr>
          <w:rFonts w:hint="eastAsia" w:ascii="宋体" w:hAnsi="宋体" w:eastAsia="宋体" w:cs="宋体"/>
          <w:b/>
          <w:bCs/>
          <w:kern w:val="0"/>
          <w:sz w:val="24"/>
          <w:szCs w:val="24"/>
        </w:rPr>
        <w:t>否则将被拒收。</w:t>
      </w:r>
    </w:p>
    <w:p w14:paraId="13EC3919">
      <w:pPr>
        <w:widowControl/>
        <w:spacing w:before="75" w:after="75"/>
        <w:ind w:firstLine="480"/>
        <w:jc w:val="left"/>
        <w:rPr>
          <w:rFonts w:ascii="宋体" w:hAnsi="宋体" w:eastAsia="宋体" w:cs="宋体"/>
          <w:kern w:val="0"/>
          <w:sz w:val="24"/>
          <w:szCs w:val="24"/>
        </w:rPr>
      </w:pPr>
      <w:r>
        <w:rPr>
          <w:rFonts w:hint="eastAsia" w:ascii="宋体" w:hAnsi="宋体" w:eastAsia="宋体" w:cs="宋体"/>
          <w:b/>
          <w:bCs/>
          <w:kern w:val="0"/>
          <w:sz w:val="24"/>
          <w:szCs w:val="24"/>
        </w:rPr>
        <w:t>※按照上述规定提交的补充、修改内容作为投标文件组成部分。</w:t>
      </w:r>
    </w:p>
    <w:p w14:paraId="6150BCF6">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10.12除招标文件另有规定外，有下列情形之一的，</w:t>
      </w:r>
      <w:r>
        <w:rPr>
          <w:rFonts w:hint="eastAsia" w:ascii="宋体" w:hAnsi="宋体" w:eastAsia="宋体" w:cs="宋体"/>
          <w:b/>
          <w:bCs/>
          <w:kern w:val="0"/>
          <w:sz w:val="24"/>
          <w:szCs w:val="24"/>
        </w:rPr>
        <w:t>投标无效</w:t>
      </w:r>
      <w:r>
        <w:rPr>
          <w:rFonts w:hint="eastAsia" w:ascii="宋体" w:hAnsi="宋体" w:eastAsia="宋体" w:cs="宋体"/>
          <w:kern w:val="0"/>
          <w:sz w:val="24"/>
          <w:szCs w:val="24"/>
        </w:rPr>
        <w:t>：</w:t>
      </w:r>
    </w:p>
    <w:p w14:paraId="1B0FCBEA">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（1）投标文件未按照招标文件要求签署、盖章；</w:t>
      </w:r>
    </w:p>
    <w:p w14:paraId="1EEC6CD2">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（2）不符合招标文件中规定的资格要求；</w:t>
      </w:r>
    </w:p>
    <w:p w14:paraId="089EF0A7">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（3）投标报价超过招标文件中规定的预算金额或最高限价；</w:t>
      </w:r>
    </w:p>
    <w:p w14:paraId="593A0028">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（4）投标文件含有采购人不能接受的附加条件；</w:t>
      </w:r>
    </w:p>
    <w:p w14:paraId="56DCC23B">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（5）有关法律、法规和规章及招标文件规定的其他无效情形。</w:t>
      </w:r>
    </w:p>
    <w:p w14:paraId="0D7224E4">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 </w:t>
      </w:r>
    </w:p>
    <w:p w14:paraId="26A0406B">
      <w:pPr>
        <w:widowControl/>
        <w:spacing w:before="75" w:after="75"/>
        <w:jc w:val="center"/>
        <w:rPr>
          <w:rFonts w:ascii="宋体" w:hAnsi="宋体" w:eastAsia="宋体" w:cs="宋体"/>
          <w:kern w:val="0"/>
          <w:sz w:val="24"/>
          <w:szCs w:val="24"/>
        </w:rPr>
      </w:pPr>
      <w:r>
        <w:rPr>
          <w:rFonts w:hint="eastAsia" w:ascii="宋体" w:hAnsi="宋体" w:eastAsia="宋体" w:cs="宋体"/>
          <w:b/>
          <w:bCs/>
          <w:kern w:val="0"/>
          <w:sz w:val="24"/>
          <w:szCs w:val="24"/>
        </w:rPr>
        <w:t>五、开标</w:t>
      </w:r>
    </w:p>
    <w:p w14:paraId="11436045">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11、开标</w:t>
      </w:r>
    </w:p>
    <w:p w14:paraId="7DEBBCC4">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11.1</w:t>
      </w:r>
      <w:r>
        <w:rPr>
          <w:rFonts w:hint="eastAsia" w:ascii="宋体" w:hAnsi="宋体" w:eastAsia="宋体" w:cs="宋体"/>
          <w:kern w:val="0"/>
          <w:sz w:val="24"/>
          <w:szCs w:val="24"/>
          <w:u w:val="single"/>
        </w:rPr>
        <w:t>福建昇华工程造价咨询有限公司</w:t>
      </w:r>
      <w:r>
        <w:rPr>
          <w:rFonts w:hint="eastAsia" w:ascii="宋体" w:hAnsi="宋体" w:eastAsia="宋体" w:cs="宋体"/>
          <w:kern w:val="0"/>
          <w:sz w:val="24"/>
          <w:szCs w:val="24"/>
        </w:rPr>
        <w:t>将在招标文件载明的开标时间及地点主持召开开标会，并邀请投标人参加。</w:t>
      </w:r>
    </w:p>
    <w:p w14:paraId="0901EE4A">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11.2开标会的主持人、唱标人、记录人及其他工作人员（若有）均由</w:t>
      </w:r>
      <w:r>
        <w:rPr>
          <w:rFonts w:hint="eastAsia" w:ascii="宋体" w:hAnsi="宋体" w:eastAsia="宋体" w:cs="宋体"/>
          <w:kern w:val="0"/>
          <w:sz w:val="24"/>
          <w:szCs w:val="24"/>
          <w:u w:val="single"/>
        </w:rPr>
        <w:t>福建昇华工程造价咨询有限公司</w:t>
      </w:r>
      <w:r>
        <w:rPr>
          <w:rFonts w:hint="eastAsia" w:ascii="宋体" w:hAnsi="宋体" w:eastAsia="宋体" w:cs="宋体"/>
          <w:kern w:val="0"/>
          <w:sz w:val="24"/>
          <w:szCs w:val="24"/>
        </w:rPr>
        <w:t>派出，现场监督人员（若有）可由有关方面派出。</w:t>
      </w:r>
    </w:p>
    <w:p w14:paraId="5D1AEEBE">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11.3参加现场开标会的投标人应签到。</w:t>
      </w:r>
    </w:p>
    <w:p w14:paraId="459C7841">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11.4开标会应遵守下列规定：</w:t>
      </w:r>
    </w:p>
    <w:p w14:paraId="6E24EDB2">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（1）首先由主持人宣布开标会须知，然后由投标人代表对投标文件的密封情况进行检查，经确认无误后，由工作人员对密封的投标文件当众拆封。</w:t>
      </w:r>
    </w:p>
    <w:p w14:paraId="7AEF2E63">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2）唱标时，唱标人将依次宣布“投标人名称”、“各投标人关于投标文件补充、修改或撤回的书面通知（若有）”、“各投标人的投标报价”和招标文件规定的需要宣布的其他内容（包括但不限于：开标一览表中的内容、唱标人认为需要宣布的内容等）。</w:t>
      </w:r>
    </w:p>
    <w:p w14:paraId="5E59D32F">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（3）记录人对唱标人宣布的内容作开标记录。</w:t>
      </w:r>
    </w:p>
    <w:p w14:paraId="72912FEA">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4）唱标结束后，投标人代表应对开标记录进行签字确认。投标人代表的签字确认，视为投标人对开标过程和开标记录予以认可。投标人代表拒绝签字确认且无正当理由，亦视为投标人对开标过程和开标记录予以认可。</w:t>
      </w:r>
    </w:p>
    <w:p w14:paraId="7F640514">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（5）投标人代表对开标过程和开标记录有疑义，以及认为采购人（采购代理机构）相关工作人员有需要回避情形的，应当场提出询问或回避申请。否则，视为投标人对开标过程和开标记录予以认可。</w:t>
      </w:r>
    </w:p>
    <w:p w14:paraId="65097912">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（6）若投标人未参加开标会（包括但不限于投标人派出的人员不是投标人代表），视同其对开标过程和开标记录予以认可。</w:t>
      </w:r>
    </w:p>
    <w:p w14:paraId="67926316">
      <w:pPr>
        <w:widowControl/>
        <w:spacing w:before="75" w:after="75"/>
        <w:ind w:firstLine="480"/>
        <w:jc w:val="left"/>
        <w:rPr>
          <w:rFonts w:ascii="宋体" w:hAnsi="宋体" w:eastAsia="宋体" w:cs="宋体"/>
          <w:kern w:val="0"/>
          <w:sz w:val="24"/>
          <w:szCs w:val="24"/>
        </w:rPr>
      </w:pPr>
      <w:r>
        <w:rPr>
          <w:rFonts w:hint="eastAsia" w:ascii="宋体" w:hAnsi="宋体" w:eastAsia="宋体" w:cs="宋体"/>
          <w:b/>
          <w:bCs/>
          <w:kern w:val="0"/>
          <w:sz w:val="24"/>
          <w:szCs w:val="24"/>
        </w:rPr>
        <w:t>※若出现本章第</w:t>
      </w:r>
      <w:r>
        <w:rPr>
          <w:rFonts w:ascii="Calibri" w:hAnsi="Calibri" w:eastAsia="宋体" w:cs="Calibri"/>
          <w:b/>
          <w:bCs/>
          <w:kern w:val="0"/>
          <w:sz w:val="24"/>
          <w:szCs w:val="24"/>
        </w:rPr>
        <w:t>11.4</w:t>
      </w:r>
      <w:r>
        <w:rPr>
          <w:rFonts w:hint="eastAsia" w:ascii="宋体" w:hAnsi="宋体" w:eastAsia="宋体" w:cs="宋体"/>
          <w:b/>
          <w:bCs/>
          <w:kern w:val="0"/>
          <w:sz w:val="24"/>
          <w:szCs w:val="24"/>
        </w:rPr>
        <w:t>条第（</w:t>
      </w:r>
      <w:r>
        <w:rPr>
          <w:rFonts w:ascii="Calibri" w:hAnsi="Calibri" w:eastAsia="宋体" w:cs="Calibri"/>
          <w:b/>
          <w:bCs/>
          <w:kern w:val="0"/>
          <w:sz w:val="24"/>
          <w:szCs w:val="24"/>
        </w:rPr>
        <w:t>4</w:t>
      </w:r>
      <w:r>
        <w:rPr>
          <w:rFonts w:hint="eastAsia" w:ascii="宋体" w:hAnsi="宋体" w:eastAsia="宋体" w:cs="宋体"/>
          <w:b/>
          <w:bCs/>
          <w:kern w:val="0"/>
          <w:sz w:val="24"/>
          <w:szCs w:val="24"/>
        </w:rPr>
        <w:t>）、（</w:t>
      </w:r>
      <w:r>
        <w:rPr>
          <w:rFonts w:ascii="Calibri" w:hAnsi="Calibri" w:eastAsia="宋体" w:cs="Calibri"/>
          <w:b/>
          <w:bCs/>
          <w:kern w:val="0"/>
          <w:sz w:val="24"/>
          <w:szCs w:val="24"/>
        </w:rPr>
        <w:t>5</w:t>
      </w:r>
      <w:r>
        <w:rPr>
          <w:rFonts w:hint="eastAsia" w:ascii="宋体" w:hAnsi="宋体" w:eastAsia="宋体" w:cs="宋体"/>
          <w:b/>
          <w:bCs/>
          <w:kern w:val="0"/>
          <w:sz w:val="24"/>
          <w:szCs w:val="24"/>
        </w:rPr>
        <w:t>）、（</w:t>
      </w:r>
      <w:r>
        <w:rPr>
          <w:rFonts w:ascii="Calibri" w:hAnsi="Calibri" w:eastAsia="宋体" w:cs="Calibri"/>
          <w:b/>
          <w:bCs/>
          <w:kern w:val="0"/>
          <w:sz w:val="24"/>
          <w:szCs w:val="24"/>
        </w:rPr>
        <w:t>6</w:t>
      </w:r>
      <w:r>
        <w:rPr>
          <w:rFonts w:hint="eastAsia" w:ascii="宋体" w:hAnsi="宋体" w:eastAsia="宋体" w:cs="宋体"/>
          <w:b/>
          <w:bCs/>
          <w:kern w:val="0"/>
          <w:sz w:val="24"/>
          <w:szCs w:val="24"/>
        </w:rPr>
        <w:t>）款规定情形之一</w:t>
      </w:r>
      <w:r>
        <w:rPr>
          <w:rFonts w:hint="eastAsia" w:ascii="宋体" w:hAnsi="宋体" w:eastAsia="宋体" w:cs="宋体"/>
          <w:kern w:val="0"/>
          <w:sz w:val="24"/>
          <w:szCs w:val="24"/>
        </w:rPr>
        <w:t>，</w:t>
      </w:r>
      <w:r>
        <w:rPr>
          <w:rFonts w:hint="eastAsia" w:ascii="宋体" w:hAnsi="宋体" w:eastAsia="宋体" w:cs="宋体"/>
          <w:b/>
          <w:bCs/>
          <w:kern w:val="0"/>
          <w:sz w:val="24"/>
          <w:szCs w:val="24"/>
        </w:rPr>
        <w:t>则投标人不得在开标会后就开标过程和开标记录涉及或可能涉及的有关事由（包括但不限于：“投标报价”、“投标文件的格式”、“投标文件的提交”、“投标文件的补充、修改或撤回”等）向</w:t>
      </w:r>
      <w:r>
        <w:rPr>
          <w:rFonts w:hint="eastAsia" w:ascii="宋体" w:hAnsi="宋体" w:eastAsia="宋体" w:cs="宋体"/>
          <w:kern w:val="0"/>
          <w:sz w:val="24"/>
          <w:szCs w:val="24"/>
          <w:u w:val="single"/>
        </w:rPr>
        <w:t>福建昇华工程造价咨询有限公司</w:t>
      </w:r>
      <w:r>
        <w:rPr>
          <w:rFonts w:hint="eastAsia" w:ascii="宋体" w:hAnsi="宋体" w:eastAsia="宋体" w:cs="宋体"/>
          <w:b/>
          <w:bCs/>
          <w:kern w:val="0"/>
          <w:sz w:val="24"/>
          <w:szCs w:val="24"/>
        </w:rPr>
        <w:t>提出任何疑义或要求（包括质疑）。</w:t>
      </w:r>
    </w:p>
    <w:p w14:paraId="1DCC3D7E">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11.5投标截止时间后，参加投标的投标人不足三家的，不进行开标。同时，本次采购活动结束，</w:t>
      </w:r>
      <w:r>
        <w:rPr>
          <w:rFonts w:hint="eastAsia" w:ascii="宋体" w:hAnsi="宋体" w:eastAsia="宋体" w:cs="宋体"/>
          <w:kern w:val="0"/>
          <w:sz w:val="24"/>
          <w:szCs w:val="24"/>
          <w:u w:val="single"/>
        </w:rPr>
        <w:t>福建昇华工程造价咨询有限公司</w:t>
      </w:r>
      <w:r>
        <w:rPr>
          <w:rFonts w:hint="eastAsia" w:ascii="宋体" w:hAnsi="宋体" w:eastAsia="宋体" w:cs="宋体"/>
          <w:kern w:val="0"/>
          <w:sz w:val="24"/>
          <w:szCs w:val="24"/>
        </w:rPr>
        <w:t>将依法组织后续采购活动（包括但不限于：重新招标、采用其他方式采购等）。</w:t>
      </w:r>
    </w:p>
    <w:p w14:paraId="5165C00F">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11.6投标截止时间后撤销投标的处理</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投标截止时间后，投标人在投标有效期内撤销投标的，其撤销投标的行为无效。    </w:t>
      </w:r>
      <w:r>
        <w:rPr>
          <w:rFonts w:hint="eastAsia" w:ascii="宋体" w:hAnsi="宋体" w:eastAsia="宋体" w:cs="宋体"/>
          <w:kern w:val="0"/>
          <w:sz w:val="24"/>
          <w:szCs w:val="24"/>
        </w:rPr>
        <w:br w:type="textWrapping"/>
      </w:r>
      <w:r>
        <w:rPr>
          <w:rFonts w:hint="eastAsia" w:ascii="宋体" w:hAnsi="宋体" w:eastAsia="宋体" w:cs="宋体"/>
          <w:kern w:val="0"/>
          <w:sz w:val="24"/>
          <w:szCs w:val="24"/>
        </w:rPr>
        <w:br w:type="textWrapping"/>
      </w:r>
      <w:r>
        <w:rPr>
          <w:rFonts w:hint="eastAsia" w:ascii="宋体" w:hAnsi="宋体" w:eastAsia="宋体" w:cs="宋体"/>
          <w:kern w:val="0"/>
          <w:sz w:val="24"/>
          <w:szCs w:val="24"/>
        </w:rPr>
        <w:br w:type="textWrapping"/>
      </w:r>
    </w:p>
    <w:p w14:paraId="2374E8A5">
      <w:pPr>
        <w:widowControl/>
        <w:spacing w:before="75" w:after="75"/>
        <w:jc w:val="center"/>
        <w:rPr>
          <w:rFonts w:ascii="宋体" w:hAnsi="宋体" w:eastAsia="宋体" w:cs="宋体"/>
          <w:kern w:val="0"/>
          <w:sz w:val="24"/>
          <w:szCs w:val="24"/>
        </w:rPr>
      </w:pPr>
      <w:r>
        <w:rPr>
          <w:rFonts w:hint="eastAsia" w:ascii="宋体" w:hAnsi="宋体" w:eastAsia="宋体" w:cs="宋体"/>
          <w:b/>
          <w:bCs/>
          <w:kern w:val="0"/>
          <w:sz w:val="24"/>
          <w:szCs w:val="24"/>
        </w:rPr>
        <w:t>六、中标与政府采购合同</w:t>
      </w:r>
    </w:p>
    <w:p w14:paraId="052F275E">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12、中标</w:t>
      </w:r>
    </w:p>
    <w:p w14:paraId="7CE91739">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12.1本项目推荐的中标候选人家数：详见招标文件第二章。</w:t>
      </w:r>
    </w:p>
    <w:p w14:paraId="09E08074">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12.2本项目中标人的确定：详见招标文件第二章。</w:t>
      </w:r>
    </w:p>
    <w:p w14:paraId="409BC5BF">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12.3中标公告</w:t>
      </w:r>
    </w:p>
    <w:p w14:paraId="63A7F8B4">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（1）中标人确定之日起</w:t>
      </w:r>
      <w:r>
        <w:rPr>
          <w:rFonts w:ascii="Calibri" w:hAnsi="Calibri" w:eastAsia="宋体" w:cs="Calibri"/>
          <w:kern w:val="0"/>
          <w:sz w:val="24"/>
          <w:szCs w:val="24"/>
        </w:rPr>
        <w:t>2</w:t>
      </w:r>
      <w:r>
        <w:rPr>
          <w:rFonts w:hint="eastAsia" w:ascii="宋体" w:hAnsi="宋体" w:eastAsia="宋体" w:cs="宋体"/>
          <w:kern w:val="0"/>
          <w:sz w:val="24"/>
          <w:szCs w:val="24"/>
        </w:rPr>
        <w:t>个工作日内，</w:t>
      </w:r>
      <w:r>
        <w:rPr>
          <w:rFonts w:hint="eastAsia" w:ascii="宋体" w:hAnsi="宋体" w:eastAsia="宋体" w:cs="宋体"/>
          <w:kern w:val="0"/>
          <w:sz w:val="24"/>
          <w:szCs w:val="24"/>
          <w:u w:val="single"/>
        </w:rPr>
        <w:t>福建昇华工程造价咨询有限公司</w:t>
      </w:r>
      <w:r>
        <w:rPr>
          <w:rFonts w:hint="eastAsia" w:ascii="宋体" w:hAnsi="宋体" w:eastAsia="宋体" w:cs="宋体"/>
          <w:kern w:val="0"/>
          <w:sz w:val="24"/>
          <w:szCs w:val="24"/>
        </w:rPr>
        <w:t>将在招标文件载明的指定媒体以中标公告的形式发布中标结果。</w:t>
      </w:r>
    </w:p>
    <w:p w14:paraId="03414898">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（2）中标公告的公告期限为</w:t>
      </w:r>
      <w:r>
        <w:rPr>
          <w:rFonts w:ascii="Calibri" w:hAnsi="Calibri" w:eastAsia="宋体" w:cs="Calibri"/>
          <w:kern w:val="0"/>
          <w:sz w:val="24"/>
          <w:szCs w:val="24"/>
        </w:rPr>
        <w:t>1</w:t>
      </w:r>
      <w:r>
        <w:rPr>
          <w:rFonts w:hint="eastAsia" w:ascii="宋体" w:hAnsi="宋体" w:eastAsia="宋体" w:cs="宋体"/>
          <w:kern w:val="0"/>
          <w:sz w:val="24"/>
          <w:szCs w:val="24"/>
        </w:rPr>
        <w:t>个工作日。</w:t>
      </w:r>
    </w:p>
    <w:p w14:paraId="6918CCB9">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12.4中标通知书</w:t>
      </w:r>
    </w:p>
    <w:p w14:paraId="34DB25A8">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（1）中标公告发布的同时，</w:t>
      </w:r>
      <w:r>
        <w:rPr>
          <w:rFonts w:hint="eastAsia" w:ascii="宋体" w:hAnsi="宋体" w:eastAsia="宋体" w:cs="宋体"/>
          <w:kern w:val="0"/>
          <w:sz w:val="24"/>
          <w:szCs w:val="24"/>
          <w:u w:val="single"/>
        </w:rPr>
        <w:t>福建昇华工程造价咨询有限公司</w:t>
      </w:r>
      <w:r>
        <w:rPr>
          <w:rFonts w:hint="eastAsia" w:ascii="宋体" w:hAnsi="宋体" w:eastAsia="宋体" w:cs="宋体"/>
          <w:kern w:val="0"/>
          <w:sz w:val="24"/>
          <w:szCs w:val="24"/>
        </w:rPr>
        <w:t>将向中标人发出中标通知书。</w:t>
      </w:r>
    </w:p>
    <w:p w14:paraId="6E2FE85B">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（2）中标通知书发出后，采购人不得违法改变中标结果，中标人无正当理由不得放弃中标。</w:t>
      </w:r>
    </w:p>
    <w:p w14:paraId="0E8A1B54">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13、政府采购合同</w:t>
      </w:r>
    </w:p>
    <w:p w14:paraId="128A1C28">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13.1签订政府采购合同应遵守政府采购法及实施条例的规定，不得对招标文件确定的事项和中标人的投标文件作实质性修改。采购人不得向中标人提出任何不合理的要求作为政府采购合同的签订条件。</w:t>
      </w:r>
    </w:p>
    <w:p w14:paraId="22708A31">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13.2签订时限：</w:t>
      </w:r>
      <w:r>
        <w:rPr>
          <w:rFonts w:ascii="宋体" w:hAnsi="宋体" w:eastAsia="宋体" w:cs="宋体"/>
          <w:kern w:val="0"/>
          <w:sz w:val="24"/>
          <w:szCs w:val="24"/>
        </w:rPr>
        <w:t>自中标通知书发出之日起30个日历日内。</w:t>
      </w:r>
      <w:r>
        <w:rPr>
          <w:rFonts w:hint="eastAsia" w:ascii="宋体" w:hAnsi="宋体" w:eastAsia="宋体" w:cs="宋体"/>
          <w:kern w:val="0"/>
          <w:sz w:val="24"/>
          <w:szCs w:val="24"/>
        </w:rPr>
        <w:t>。</w:t>
      </w:r>
    </w:p>
    <w:p w14:paraId="7BFC953F">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13.3政府采购合同的履行、违约责任和解决争议的方法等适用民法典。</w:t>
      </w:r>
    </w:p>
    <w:p w14:paraId="181D8549">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13.4采购人与中标人应根据政府采购合同的约定依法履行合同义务。</w:t>
      </w:r>
    </w:p>
    <w:p w14:paraId="7C06701F">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13.5政府采购合同履行过程中，采购人若需追加与合同标的相同的货物或服务，则追加采购金额不得超过原合同采购金额的</w:t>
      </w:r>
      <w:r>
        <w:rPr>
          <w:rFonts w:ascii="Calibri" w:hAnsi="Calibri" w:eastAsia="宋体" w:cs="Calibri"/>
          <w:kern w:val="0"/>
          <w:sz w:val="24"/>
          <w:szCs w:val="24"/>
        </w:rPr>
        <w:t>10%</w:t>
      </w:r>
      <w:r>
        <w:rPr>
          <w:rFonts w:hint="eastAsia" w:ascii="宋体" w:hAnsi="宋体" w:eastAsia="宋体" w:cs="宋体"/>
          <w:kern w:val="0"/>
          <w:sz w:val="24"/>
          <w:szCs w:val="24"/>
        </w:rPr>
        <w:t>。</w:t>
      </w:r>
    </w:p>
    <w:p w14:paraId="55492E33">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13.6中标人在政府采购合同履行过程中应遵守有关法律、法规和规章的强制性规定（即使前述强制性规定有可能在招标文件中未予列明）。</w:t>
      </w:r>
    </w:p>
    <w:p w14:paraId="604CDE5E">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 </w:t>
      </w:r>
    </w:p>
    <w:p w14:paraId="408631E3">
      <w:pPr>
        <w:widowControl/>
        <w:spacing w:before="75" w:after="75"/>
        <w:jc w:val="center"/>
        <w:rPr>
          <w:rFonts w:ascii="宋体" w:hAnsi="宋体" w:eastAsia="宋体" w:cs="宋体"/>
          <w:kern w:val="0"/>
          <w:sz w:val="24"/>
          <w:szCs w:val="24"/>
        </w:rPr>
      </w:pPr>
      <w:r>
        <w:rPr>
          <w:rFonts w:hint="eastAsia" w:ascii="宋体" w:hAnsi="宋体" w:eastAsia="宋体" w:cs="宋体"/>
          <w:b/>
          <w:bCs/>
          <w:kern w:val="0"/>
          <w:sz w:val="24"/>
          <w:szCs w:val="24"/>
        </w:rPr>
        <w:t>七、询问、质疑与投诉</w:t>
      </w:r>
    </w:p>
    <w:p w14:paraId="6F081D59">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14、询问</w:t>
      </w:r>
    </w:p>
    <w:p w14:paraId="0AD6B500">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14.1潜在投标人或投标人对本次采购活动的有关事项若有疑问，可向福建昇华工程造价咨询有限公司提出询问，福建昇华工程造价咨询有限公司将按照政府采购法及实施条例的有关规定进行答复。</w:t>
      </w:r>
    </w:p>
    <w:p w14:paraId="631B72E3">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15、质疑</w:t>
      </w:r>
    </w:p>
    <w:p w14:paraId="03CFDF22">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15.1针对同一采购程序环节的质疑应在政府采购法及实施条例的时限内一次性提出，对一个项目的不同采购包提出质疑的，应当将各采购包质疑事项集中在一份质疑函中提出，并同时符合下列条件：</w:t>
      </w:r>
    </w:p>
    <w:p w14:paraId="14042051">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（1）对招标文件提出质疑的，质疑人应为潜在投标人，且两者的身份、名称等均应保持一致。对采购过程、结果提出质疑的，质疑人应为投标人，且两者的身份、名称等均应保持一致。</w:t>
      </w:r>
    </w:p>
    <w:p w14:paraId="78372666">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（2）质疑人应按照招标文件第二章规定方式提交质疑函。</w:t>
      </w:r>
    </w:p>
    <w:p w14:paraId="6A9CDD03">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（3）质疑函应包括下列主要内容：</w:t>
      </w:r>
    </w:p>
    <w:p w14:paraId="71FBC728">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①质疑人的基本信息，至少包括：全称、地址、邮政编码等；</w:t>
      </w:r>
    </w:p>
    <w:p w14:paraId="0BAA97D5">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②所质疑项目的基本信息，至少包括：项目编号、项目名称等；</w:t>
      </w:r>
    </w:p>
    <w:p w14:paraId="61C7ABDF">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③所质疑的具体事项（以下简称：“质疑事项”）；</w:t>
      </w:r>
    </w:p>
    <w:p w14:paraId="7FA66503">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④针对质疑事项提出的明确请求，前述明确请求指质疑人提出质疑的目的以及希望福建昇华工程造价咨询有限公司对其质疑作出的处理结果，如：暂停招标投标活动、修改招标文件、停止或纠正违法违规行为、中标结果无效、废标、重新招标等；</w:t>
      </w:r>
    </w:p>
    <w:p w14:paraId="3D337050">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⑤针对质疑事项导致质疑人自身权益受到损害的必要证明材料，至少包括：</w:t>
      </w:r>
    </w:p>
    <w:p w14:paraId="112B66E5">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a.质疑人代表的身份证明材料：</w:t>
      </w:r>
    </w:p>
    <w:p w14:paraId="49A993B5">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5B92DD15">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a2若本项目接受自然人投标且质疑人为自然人的，提供本人的身份证复印件。</w:t>
      </w:r>
    </w:p>
    <w:p w14:paraId="0B1108F5">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b.其他证明材料（即事实依据和必要的法律依据）包括但不限于下列材料：</w:t>
      </w:r>
    </w:p>
    <w:p w14:paraId="78D9932F">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b1所质疑的具体事项是与自己有利害关系的证明材料；</w:t>
      </w:r>
    </w:p>
    <w:p w14:paraId="1287387E">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b2质疑函所述事实存在的证明材料，如：采购文件、采购过程或中标结果违法违规或不符合采购文件要求等证明材料；</w:t>
      </w:r>
    </w:p>
    <w:p w14:paraId="1F0B3DF3">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b3依法应终止采购程序的证明材料；</w:t>
      </w:r>
    </w:p>
    <w:p w14:paraId="1EC110C5">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b4应重新采购的证明材料；</w:t>
      </w:r>
    </w:p>
    <w:p w14:paraId="4F6F45ED">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b5采购文件、采购过程或中标、成交结果损害自己合法权益的证明材料等；</w:t>
      </w:r>
    </w:p>
    <w:p w14:paraId="41DDDBEE">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b6若质疑的具体事项按照有关法律、法规和规章规定处于保密阶段，则应提供信息或证明材料为合法或公开渠道获得的有效证据（若证据无法有效表明信息或证明材料为合法或公开渠道获得，则前述信息或证明材料</w:t>
      </w:r>
      <w:r>
        <w:rPr>
          <w:rFonts w:hint="eastAsia" w:ascii="宋体" w:hAnsi="宋体" w:eastAsia="宋体" w:cs="宋体"/>
          <w:b/>
          <w:bCs/>
          <w:kern w:val="0"/>
          <w:sz w:val="24"/>
          <w:szCs w:val="24"/>
        </w:rPr>
        <w:t>视为无效</w:t>
      </w:r>
      <w:r>
        <w:rPr>
          <w:rFonts w:hint="eastAsia" w:ascii="宋体" w:hAnsi="宋体" w:eastAsia="宋体" w:cs="宋体"/>
          <w:kern w:val="0"/>
          <w:sz w:val="24"/>
          <w:szCs w:val="24"/>
        </w:rPr>
        <w:t>）。</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⑥质疑人代表及其联系方法的信息，至少包括：姓名、手机、电子信箱、邮寄地址等。</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⑦提出质疑的日期。</w:t>
      </w:r>
    </w:p>
    <w:p w14:paraId="4E7DF263">
      <w:pPr>
        <w:widowControl/>
        <w:spacing w:after="150"/>
        <w:ind w:firstLine="480"/>
        <w:jc w:val="left"/>
        <w:rPr>
          <w:rFonts w:ascii="宋体" w:hAnsi="宋体" w:eastAsia="宋体" w:cs="宋体"/>
          <w:kern w:val="0"/>
          <w:sz w:val="24"/>
          <w:szCs w:val="24"/>
        </w:rPr>
      </w:pPr>
      <w:r>
        <w:rPr>
          <w:rFonts w:hint="eastAsia" w:ascii="宋体" w:hAnsi="宋体" w:eastAsia="宋体" w:cs="宋体"/>
          <w:b/>
          <w:bCs/>
          <w:kern w:val="0"/>
          <w:sz w:val="24"/>
          <w:szCs w:val="24"/>
        </w:rPr>
        <w:t>※质疑人为法人或其他组织的，质疑函应由单位负责人或委托代理人签字或盖章，并加盖投标人的单位公章。质疑人为自然人的，质疑函应由本人签字。</w:t>
      </w:r>
    </w:p>
    <w:p w14:paraId="0EFF6D70">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15.2对不符合本章第</w:t>
      </w:r>
      <w:r>
        <w:rPr>
          <w:rFonts w:ascii="Calibri" w:hAnsi="Calibri" w:eastAsia="宋体" w:cs="Calibri"/>
          <w:kern w:val="0"/>
          <w:sz w:val="24"/>
          <w:szCs w:val="24"/>
        </w:rPr>
        <w:t>15.1</w:t>
      </w:r>
      <w:r>
        <w:rPr>
          <w:rFonts w:hint="eastAsia" w:ascii="宋体" w:hAnsi="宋体" w:eastAsia="宋体" w:cs="宋体"/>
          <w:kern w:val="0"/>
          <w:sz w:val="24"/>
          <w:szCs w:val="24"/>
        </w:rPr>
        <w:t>条规定的质疑，将按照下列规定进行处理：</w:t>
      </w:r>
    </w:p>
    <w:p w14:paraId="222B06E4">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（1）不符合其中第（</w:t>
      </w:r>
      <w:r>
        <w:rPr>
          <w:rFonts w:ascii="Calibri" w:hAnsi="Calibri" w:eastAsia="宋体" w:cs="Calibri"/>
          <w:kern w:val="0"/>
          <w:sz w:val="24"/>
          <w:szCs w:val="24"/>
        </w:rPr>
        <w:t>1</w:t>
      </w:r>
      <w:r>
        <w:rPr>
          <w:rFonts w:hint="eastAsia" w:ascii="宋体" w:hAnsi="宋体" w:eastAsia="宋体" w:cs="宋体"/>
          <w:kern w:val="0"/>
          <w:sz w:val="24"/>
          <w:szCs w:val="24"/>
        </w:rPr>
        <w:t>）、（</w:t>
      </w:r>
      <w:r>
        <w:rPr>
          <w:rFonts w:ascii="Calibri" w:hAnsi="Calibri" w:eastAsia="宋体" w:cs="Calibri"/>
          <w:kern w:val="0"/>
          <w:sz w:val="24"/>
          <w:szCs w:val="24"/>
        </w:rPr>
        <w:t>2</w:t>
      </w:r>
      <w:r>
        <w:rPr>
          <w:rFonts w:hint="eastAsia" w:ascii="宋体" w:hAnsi="宋体" w:eastAsia="宋体" w:cs="宋体"/>
          <w:kern w:val="0"/>
          <w:sz w:val="24"/>
          <w:szCs w:val="24"/>
        </w:rPr>
        <w:t>）条规定的，书面告知质疑人不予受理及其理由。</w:t>
      </w:r>
    </w:p>
    <w:p w14:paraId="344F1FBF">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（2）不符合其中第（</w:t>
      </w:r>
      <w:r>
        <w:rPr>
          <w:rFonts w:ascii="Calibri" w:hAnsi="Calibri" w:eastAsia="宋体" w:cs="Calibri"/>
          <w:kern w:val="0"/>
          <w:sz w:val="24"/>
          <w:szCs w:val="24"/>
        </w:rPr>
        <w:t>3</w:t>
      </w:r>
      <w:r>
        <w:rPr>
          <w:rFonts w:hint="eastAsia" w:ascii="宋体" w:hAnsi="宋体" w:eastAsia="宋体" w:cs="宋体"/>
          <w:kern w:val="0"/>
          <w:sz w:val="24"/>
          <w:szCs w:val="24"/>
        </w:rPr>
        <w:t>）条规定的，书面告知质疑人修改、补充后在规定时限内重新提交质疑函。</w:t>
      </w:r>
    </w:p>
    <w:p w14:paraId="689FEC58">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15.3对符合本章第</w:t>
      </w:r>
      <w:r>
        <w:rPr>
          <w:rFonts w:ascii="Calibri" w:hAnsi="Calibri" w:eastAsia="宋体" w:cs="Calibri"/>
          <w:kern w:val="0"/>
          <w:sz w:val="24"/>
          <w:szCs w:val="24"/>
        </w:rPr>
        <w:t>15.1</w:t>
      </w:r>
      <w:r>
        <w:rPr>
          <w:rFonts w:hint="eastAsia" w:ascii="宋体" w:hAnsi="宋体" w:eastAsia="宋体" w:cs="宋体"/>
          <w:kern w:val="0"/>
          <w:sz w:val="24"/>
          <w:szCs w:val="24"/>
        </w:rPr>
        <w:t>条规定的质疑，将按照政府采购法及实施条例、政府采购质疑和投诉办法的有关规定进行答复。</w:t>
      </w:r>
    </w:p>
    <w:p w14:paraId="41AD6D5C">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15.4招标文件的质疑：详见招标文件第二章。</w:t>
      </w:r>
    </w:p>
    <w:p w14:paraId="56A7AA7A">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16、投诉</w:t>
      </w:r>
    </w:p>
    <w:p w14:paraId="770904E2">
      <w:pPr>
        <w:widowControl/>
        <w:spacing w:after="150"/>
        <w:jc w:val="left"/>
        <w:rPr>
          <w:rFonts w:ascii="宋体" w:hAnsi="宋体" w:eastAsia="宋体" w:cs="宋体"/>
          <w:kern w:val="0"/>
          <w:sz w:val="24"/>
          <w:szCs w:val="24"/>
        </w:rPr>
      </w:pPr>
      <w:r>
        <w:rPr>
          <w:rFonts w:hint="eastAsia" w:ascii="宋体" w:hAnsi="宋体" w:eastAsia="宋体" w:cs="宋体"/>
          <w:kern w:val="0"/>
          <w:sz w:val="24"/>
          <w:szCs w:val="24"/>
        </w:rPr>
        <w:t>16.1若对质疑答复不满意或质疑答复未在答复期限内作出，质疑人可在答复期限届满之日起</w:t>
      </w:r>
      <w:r>
        <w:rPr>
          <w:rFonts w:ascii="Calibri" w:hAnsi="Calibri" w:eastAsia="宋体" w:cs="Calibri"/>
          <w:kern w:val="0"/>
          <w:sz w:val="24"/>
          <w:szCs w:val="24"/>
        </w:rPr>
        <w:t>15</w:t>
      </w:r>
      <w:r>
        <w:rPr>
          <w:rFonts w:hint="eastAsia" w:ascii="宋体" w:hAnsi="宋体" w:eastAsia="宋体" w:cs="宋体"/>
          <w:kern w:val="0"/>
          <w:sz w:val="24"/>
          <w:szCs w:val="24"/>
        </w:rPr>
        <w:t>个工作日内按照政府采购质疑和投诉办法的有关规定向招标文件第二章载明的本项目监督管理部门提起投诉。</w:t>
      </w:r>
    </w:p>
    <w:p w14:paraId="766E2E74">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16.2投诉应有明确的请求和必要的证明材料，投诉的事项不得超出已质疑事项的范围。</w:t>
      </w:r>
    </w:p>
    <w:p w14:paraId="764D38AE">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 </w:t>
      </w:r>
    </w:p>
    <w:p w14:paraId="0074B1A5">
      <w:pPr>
        <w:widowControl/>
        <w:spacing w:before="75" w:after="75"/>
        <w:jc w:val="center"/>
        <w:rPr>
          <w:rFonts w:ascii="宋体" w:hAnsi="宋体" w:eastAsia="宋体" w:cs="宋体"/>
          <w:kern w:val="0"/>
          <w:sz w:val="24"/>
          <w:szCs w:val="24"/>
        </w:rPr>
      </w:pPr>
      <w:r>
        <w:rPr>
          <w:rFonts w:hint="eastAsia" w:ascii="宋体" w:hAnsi="宋体" w:eastAsia="宋体" w:cs="宋体"/>
          <w:b/>
          <w:bCs/>
          <w:kern w:val="0"/>
          <w:sz w:val="24"/>
          <w:szCs w:val="24"/>
        </w:rPr>
        <w:t>八、政府采购政策</w:t>
      </w:r>
    </w:p>
    <w:p w14:paraId="3E54CBC8">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17、政府采购政策由财政部根据国家的经济和社会发展政策并会同国家有关部委制定，包括但不限于下列具体政策要求：</w:t>
      </w:r>
    </w:p>
    <w:p w14:paraId="44750B08">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17.1进口产品指通过中国海关报关验放进入中国境内且产自关境外的产品，其中：</w:t>
      </w:r>
    </w:p>
    <w:p w14:paraId="12A7E998">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3E6817A1">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（2）凡在海关特殊监管区域内企业生产或加工（包括从境外进口料件）销往境内其他地区的产品，不作为政府采购项下进口产品。</w:t>
      </w:r>
    </w:p>
    <w:p w14:paraId="15B264CD">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（3）对从境外进入海关特殊监管区域，再经办理报关手续后从海关特殊监管区进入境内其他地区的产品，认定为进口产品。</w:t>
      </w:r>
    </w:p>
    <w:p w14:paraId="763D37C2">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（4）招标文件列明不允许或未列明允许进口产品参加投标的，均视为拒绝进口产品参加投标。</w:t>
      </w:r>
    </w:p>
    <w:p w14:paraId="36C6B155">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r>
        <w:rPr>
          <w:rFonts w:hint="eastAsia" w:ascii="宋体" w:hAnsi="宋体" w:eastAsia="宋体" w:cs="宋体"/>
          <w:kern w:val="0"/>
          <w:sz w:val="24"/>
          <w:szCs w:val="24"/>
        </w:rPr>
        <w:br w:type="textWrapping"/>
      </w:r>
    </w:p>
    <w:p w14:paraId="5EC2597E">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17.3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14:paraId="0E6D7549">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17.4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w:t>
      </w:r>
      <w:r>
        <w:rPr>
          <w:rFonts w:hint="eastAsia" w:ascii="宋体" w:hAnsi="宋体" w:eastAsia="宋体" w:cs="宋体"/>
          <w:b/>
          <w:bCs/>
          <w:kern w:val="0"/>
          <w:sz w:val="24"/>
          <w:szCs w:val="24"/>
        </w:rPr>
        <w:t>“残疾人福利性单位”</w:t>
      </w:r>
      <w:r>
        <w:rPr>
          <w:rFonts w:hint="eastAsia" w:ascii="宋体" w:hAnsi="宋体" w:eastAsia="宋体" w:cs="宋体"/>
          <w:kern w:val="0"/>
          <w:sz w:val="24"/>
          <w:szCs w:val="24"/>
        </w:rPr>
        <w:t>）亦可享受前述扶持政策。其中：</w:t>
      </w:r>
    </w:p>
    <w:p w14:paraId="20874D06">
      <w:pPr>
        <w:widowControl/>
        <w:spacing w:before="75" w:after="75"/>
        <w:ind w:firstLine="240"/>
        <w:jc w:val="left"/>
        <w:rPr>
          <w:rFonts w:ascii="宋体" w:hAnsi="宋体" w:eastAsia="宋体" w:cs="宋体"/>
          <w:kern w:val="0"/>
          <w:sz w:val="24"/>
          <w:szCs w:val="24"/>
        </w:rPr>
      </w:pPr>
      <w:r>
        <w:rPr>
          <w:rFonts w:hint="eastAsia" w:ascii="宋体" w:hAnsi="宋体" w:eastAsia="宋体" w:cs="宋体"/>
          <w:kern w:val="0"/>
          <w:sz w:val="24"/>
          <w:szCs w:val="24"/>
        </w:rPr>
        <w:t>（1）中小企业指符合下列条件的中型、小型、微型企业：</w:t>
      </w:r>
    </w:p>
    <w:p w14:paraId="59D7C7FE">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①符合《工业和信息化部、国家统计局、国家发展和改革委员会、财政部关于印发中小企业划型标准规定的通知》（工信部联企业</w:t>
      </w:r>
      <w:r>
        <w:rPr>
          <w:rFonts w:ascii="Calibri" w:hAnsi="Calibri" w:eastAsia="宋体" w:cs="Calibri"/>
          <w:kern w:val="0"/>
          <w:sz w:val="24"/>
          <w:szCs w:val="24"/>
        </w:rPr>
        <w:t>[2011]300</w:t>
      </w:r>
      <w:r>
        <w:rPr>
          <w:rFonts w:hint="eastAsia" w:ascii="宋体" w:hAnsi="宋体" w:eastAsia="宋体" w:cs="宋体"/>
          <w:kern w:val="0"/>
          <w:sz w:val="24"/>
          <w:szCs w:val="24"/>
        </w:rPr>
        <w:t>号）规定的划分标准，但与大企业的负责人为同一人，或者与大企业存在直接控股、管理关系的除外；；</w:t>
      </w:r>
    </w:p>
    <w:p w14:paraId="00F7D9E2">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②符合中小企业划分标准的个体工商户，在政府采购活动中视同中小企业。</w:t>
      </w:r>
    </w:p>
    <w:p w14:paraId="02BB6E8E">
      <w:pPr>
        <w:widowControl/>
        <w:spacing w:before="75" w:after="75"/>
        <w:ind w:firstLine="240"/>
        <w:jc w:val="left"/>
        <w:rPr>
          <w:rFonts w:ascii="宋体" w:hAnsi="宋体" w:eastAsia="宋体" w:cs="宋体"/>
          <w:kern w:val="0"/>
          <w:sz w:val="24"/>
          <w:szCs w:val="24"/>
        </w:rPr>
      </w:pPr>
      <w:r>
        <w:rPr>
          <w:rFonts w:hint="eastAsia" w:ascii="宋体" w:hAnsi="宋体" w:eastAsia="宋体" w:cs="宋体"/>
          <w:kern w:val="0"/>
          <w:sz w:val="24"/>
          <w:szCs w:val="24"/>
        </w:rPr>
        <w:t>（2）在政府采购活动中，供应商提供的货物、工程或者服务符合下列情形的，享受本办法规定的中小企业扶持政策：</w:t>
      </w:r>
    </w:p>
    <w:p w14:paraId="27DFD83B">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①在货物采购项目中，货物由中小企业制造，即货物由中小企业生产且使用该中小企业商号或者注册商标；</w:t>
      </w:r>
    </w:p>
    <w:p w14:paraId="5734E180">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②在工程采购项目中，工程由中小企业承建，即工程施工单位为中小企业；</w:t>
      </w:r>
    </w:p>
    <w:p w14:paraId="3D0F14E3">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③在服务采购项目中，服务由中小企业承接，即提供服务的人员为中小企业依照《中华人民共和国劳动合同法》 订立劳动合同的从业人员。</w:t>
      </w:r>
    </w:p>
    <w:p w14:paraId="56B1CA90">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在货物采购项目中，供应商提供的货物既有中小企业制造货物，也有大型企业制造货物的，不享受本办法规定的中小企业扶持政策。</w:t>
      </w:r>
    </w:p>
    <w:p w14:paraId="795CD434">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以联合体形式参加政府采购活动，联合体各方均为中小企业的，联合体视同中小企业。其中，联合体各方均为小微企业的，联合体视同小微企业。</w:t>
      </w:r>
    </w:p>
    <w:p w14:paraId="00B205CE">
      <w:pPr>
        <w:widowControl/>
        <w:spacing w:before="75" w:after="75"/>
        <w:ind w:firstLine="240"/>
        <w:jc w:val="left"/>
        <w:rPr>
          <w:rFonts w:ascii="宋体" w:hAnsi="宋体" w:eastAsia="宋体" w:cs="宋体"/>
          <w:kern w:val="0"/>
          <w:sz w:val="24"/>
          <w:szCs w:val="24"/>
        </w:rPr>
      </w:pPr>
      <w:r>
        <w:rPr>
          <w:rFonts w:hint="eastAsia" w:ascii="宋体" w:hAnsi="宋体" w:eastAsia="宋体" w:cs="宋体"/>
          <w:kern w:val="0"/>
          <w:sz w:val="24"/>
          <w:szCs w:val="24"/>
        </w:rPr>
        <w:t>（3）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7AFADE0D">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①监狱企业参加采购活动时，应提供由省级以上监狱管理局、戒毒管理局（含新疆生产建设兵团）出具的属于监狱企业的证明文件。</w:t>
      </w:r>
    </w:p>
    <w:p w14:paraId="500C8706">
      <w:pPr>
        <w:widowControl/>
        <w:spacing w:before="75" w:after="240"/>
        <w:ind w:firstLine="480"/>
        <w:jc w:val="left"/>
        <w:rPr>
          <w:rFonts w:ascii="宋体" w:hAnsi="宋体" w:eastAsia="宋体" w:cs="宋体"/>
          <w:kern w:val="0"/>
          <w:sz w:val="24"/>
          <w:szCs w:val="24"/>
        </w:rPr>
      </w:pPr>
      <w:r>
        <w:rPr>
          <w:rFonts w:hint="eastAsia" w:ascii="宋体" w:hAnsi="宋体" w:eastAsia="宋体" w:cs="宋体"/>
          <w:kern w:val="0"/>
          <w:sz w:val="24"/>
          <w:szCs w:val="24"/>
        </w:rPr>
        <w:t>②监狱企业视同小型、微型企业。</w:t>
      </w:r>
    </w:p>
    <w:p w14:paraId="27D0DFBA">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（4）残疾人福利性单位指同时符合下列条件的单位：</w:t>
      </w:r>
    </w:p>
    <w:p w14:paraId="6B4F0118">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①安置的残疾人占本单位在职职工人数的比例不低于</w:t>
      </w:r>
      <w:r>
        <w:rPr>
          <w:rFonts w:ascii="Calibri" w:hAnsi="Calibri" w:eastAsia="宋体" w:cs="Calibri"/>
          <w:kern w:val="0"/>
          <w:sz w:val="24"/>
          <w:szCs w:val="24"/>
        </w:rPr>
        <w:t>25%</w:t>
      </w:r>
      <w:r>
        <w:rPr>
          <w:rFonts w:hint="eastAsia" w:ascii="宋体" w:hAnsi="宋体" w:eastAsia="宋体" w:cs="宋体"/>
          <w:kern w:val="0"/>
          <w:sz w:val="24"/>
          <w:szCs w:val="24"/>
        </w:rPr>
        <w:t>（含</w:t>
      </w:r>
      <w:r>
        <w:rPr>
          <w:rFonts w:ascii="Calibri" w:hAnsi="Calibri" w:eastAsia="宋体" w:cs="Calibri"/>
          <w:kern w:val="0"/>
          <w:sz w:val="24"/>
          <w:szCs w:val="24"/>
        </w:rPr>
        <w:t>25%</w:t>
      </w:r>
      <w:r>
        <w:rPr>
          <w:rFonts w:hint="eastAsia" w:ascii="宋体" w:hAnsi="宋体" w:eastAsia="宋体" w:cs="宋体"/>
          <w:kern w:val="0"/>
          <w:sz w:val="24"/>
          <w:szCs w:val="24"/>
        </w:rPr>
        <w:t>），并且安置的残疾人人数不少于</w:t>
      </w:r>
      <w:r>
        <w:rPr>
          <w:rFonts w:ascii="Calibri" w:hAnsi="Calibri" w:eastAsia="宋体" w:cs="Calibri"/>
          <w:kern w:val="0"/>
          <w:sz w:val="24"/>
          <w:szCs w:val="24"/>
        </w:rPr>
        <w:t>10</w:t>
      </w:r>
      <w:r>
        <w:rPr>
          <w:rFonts w:hint="eastAsia" w:ascii="宋体" w:hAnsi="宋体" w:eastAsia="宋体" w:cs="宋体"/>
          <w:kern w:val="0"/>
          <w:sz w:val="24"/>
          <w:szCs w:val="24"/>
        </w:rPr>
        <w:t>人（含</w:t>
      </w:r>
      <w:r>
        <w:rPr>
          <w:rFonts w:ascii="Calibri" w:hAnsi="Calibri" w:eastAsia="宋体" w:cs="Calibri"/>
          <w:kern w:val="0"/>
          <w:sz w:val="24"/>
          <w:szCs w:val="24"/>
        </w:rPr>
        <w:t>10</w:t>
      </w:r>
      <w:r>
        <w:rPr>
          <w:rFonts w:hint="eastAsia" w:ascii="宋体" w:hAnsi="宋体" w:eastAsia="宋体" w:cs="宋体"/>
          <w:kern w:val="0"/>
          <w:sz w:val="24"/>
          <w:szCs w:val="24"/>
        </w:rPr>
        <w:t>人）；</w:t>
      </w:r>
    </w:p>
    <w:p w14:paraId="3560A97E">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②依法与安置的每位残疾人签订了一年以上（含一年）的劳动合同或服务协议；</w:t>
      </w:r>
    </w:p>
    <w:p w14:paraId="7F92693D">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③为安置的每位残疾人按月足额缴纳了基本养老保险、基本医疗保险、失业保险、工伤保险和生育保险等社会保险费；</w:t>
      </w:r>
    </w:p>
    <w:p w14:paraId="7F583000">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④通过银行等金融机构向安置的每位残疾人，按月支付了不低于单位所在区县适用的经省级人民政府批准的月最低工资标准的工资；</w:t>
      </w:r>
    </w:p>
    <w:p w14:paraId="41429B80">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⑤提供本单位制造的货物、承担的工程或服务，或提供其他残疾人福利性单位制造的货物（不包括使用非残疾人福利性单位注册商标的货物）。</w:t>
      </w:r>
    </w:p>
    <w:p w14:paraId="12FE85AC">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前款所称残疾人指法定劳动年龄内，持有《中华人民共和国残疾人证》或《中华人民共和国残疾军人证（1至</w:t>
      </w:r>
      <w:r>
        <w:rPr>
          <w:rFonts w:ascii="Calibri" w:hAnsi="Calibri" w:eastAsia="宋体" w:cs="Calibri"/>
          <w:kern w:val="0"/>
          <w:sz w:val="24"/>
          <w:szCs w:val="24"/>
        </w:rPr>
        <w:t>8</w:t>
      </w:r>
      <w:r>
        <w:rPr>
          <w:rFonts w:hint="eastAsia" w:ascii="宋体" w:hAnsi="宋体" w:eastAsia="宋体" w:cs="宋体"/>
          <w:kern w:val="0"/>
          <w:sz w:val="24"/>
          <w:szCs w:val="24"/>
        </w:rPr>
        <w:t>级）》的自然人，包括具有劳动条件和劳动意愿的精神残疾人。在职职工人数是指与残疾人福利性单位建立劳动关系并依法签订劳动合同或服务协议的雇员人数。</w:t>
      </w:r>
    </w:p>
    <w:p w14:paraId="52BC9DEF">
      <w:pPr>
        <w:widowControl/>
        <w:spacing w:before="75" w:after="75"/>
        <w:ind w:firstLine="480"/>
        <w:jc w:val="left"/>
        <w:rPr>
          <w:rFonts w:ascii="宋体" w:hAnsi="宋体" w:eastAsia="宋体" w:cs="宋体"/>
          <w:kern w:val="0"/>
          <w:sz w:val="24"/>
          <w:szCs w:val="24"/>
        </w:rPr>
      </w:pPr>
      <w:r>
        <w:rPr>
          <w:rFonts w:hint="eastAsia" w:ascii="宋体" w:hAnsi="宋体" w:eastAsia="宋体" w:cs="宋体"/>
          <w:b/>
          <w:bCs/>
          <w:kern w:val="0"/>
          <w:sz w:val="24"/>
          <w:szCs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14979B48">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17.5信用记录指由财政部确定的有关网站提供的相关主体信用信息。信用记录的查询及使用应符合财政部文件（财库</w:t>
      </w:r>
      <w:r>
        <w:rPr>
          <w:rFonts w:ascii="Calibri" w:hAnsi="Calibri" w:eastAsia="宋体" w:cs="Calibri"/>
          <w:kern w:val="0"/>
          <w:sz w:val="24"/>
          <w:szCs w:val="24"/>
        </w:rPr>
        <w:t>[2016]125</w:t>
      </w:r>
      <w:r>
        <w:rPr>
          <w:rFonts w:hint="eastAsia" w:ascii="宋体" w:hAnsi="宋体" w:eastAsia="宋体" w:cs="宋体"/>
          <w:kern w:val="0"/>
          <w:sz w:val="24"/>
          <w:szCs w:val="24"/>
        </w:rPr>
        <w:t>号）规定。</w:t>
      </w:r>
    </w:p>
    <w:p w14:paraId="2B4A7772">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17.6为落实政府采购政策需满足的要求：详见招标文件第一章。</w:t>
      </w:r>
    </w:p>
    <w:p w14:paraId="646B50CA">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 </w:t>
      </w:r>
    </w:p>
    <w:p w14:paraId="22C347E1">
      <w:pPr>
        <w:widowControl/>
        <w:spacing w:before="75" w:after="75"/>
        <w:jc w:val="center"/>
        <w:rPr>
          <w:rFonts w:ascii="宋体" w:hAnsi="宋体" w:eastAsia="宋体" w:cs="宋体"/>
          <w:kern w:val="0"/>
          <w:sz w:val="24"/>
          <w:szCs w:val="24"/>
        </w:rPr>
      </w:pPr>
      <w:r>
        <w:rPr>
          <w:rFonts w:hint="eastAsia" w:ascii="宋体" w:hAnsi="宋体" w:eastAsia="宋体" w:cs="宋体"/>
          <w:b/>
          <w:bCs/>
          <w:kern w:val="0"/>
          <w:sz w:val="24"/>
          <w:szCs w:val="24"/>
        </w:rPr>
        <w:t>九、本项目的有关信息</w:t>
      </w:r>
    </w:p>
    <w:p w14:paraId="20FBF9E7">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18、本项目的有关信息，包括但不限于：招标公告、更正公告（若有）、招标文件、招标文件的澄清或修改（若有）、中标公告、终止公告（若有）、废标公告（若有）等都将在招标文件载明的指定媒体发布。</w:t>
      </w:r>
    </w:p>
    <w:p w14:paraId="115BE37A">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18.1指定媒体：详见招标文件第二章。</w:t>
      </w:r>
    </w:p>
    <w:p w14:paraId="3030097E">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18.2本项目的潜在投标人或投标人应随时关注指定媒体，否则产生不利后果由其自行承担。</w:t>
      </w:r>
    </w:p>
    <w:p w14:paraId="312C73AB">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 </w:t>
      </w:r>
    </w:p>
    <w:p w14:paraId="3AA136CB">
      <w:pPr>
        <w:widowControl/>
        <w:spacing w:before="75" w:after="75"/>
        <w:jc w:val="center"/>
        <w:rPr>
          <w:rFonts w:ascii="宋体" w:hAnsi="宋体" w:eastAsia="宋体" w:cs="宋体"/>
          <w:kern w:val="0"/>
          <w:sz w:val="24"/>
          <w:szCs w:val="24"/>
        </w:rPr>
      </w:pPr>
      <w:r>
        <w:rPr>
          <w:rFonts w:hint="eastAsia" w:ascii="宋体" w:hAnsi="宋体" w:eastAsia="宋体" w:cs="宋体"/>
          <w:b/>
          <w:bCs/>
          <w:kern w:val="0"/>
          <w:sz w:val="24"/>
          <w:szCs w:val="24"/>
        </w:rPr>
        <w:t>十、其他事项</w:t>
      </w:r>
    </w:p>
    <w:p w14:paraId="0480B872">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19、其他事项：</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7831DB9C">
      <w:pPr>
        <w:widowControl/>
        <w:spacing w:after="150"/>
        <w:jc w:val="left"/>
        <w:rPr>
          <w:rFonts w:ascii="宋体" w:hAnsi="宋体" w:eastAsia="宋体" w:cs="宋体"/>
          <w:kern w:val="0"/>
          <w:sz w:val="24"/>
          <w:szCs w:val="24"/>
        </w:rPr>
      </w:pPr>
      <w:r>
        <w:rPr>
          <w:rFonts w:hint="eastAsia" w:ascii="宋体" w:hAnsi="宋体" w:eastAsia="宋体" w:cs="宋体"/>
          <w:kern w:val="0"/>
          <w:sz w:val="24"/>
          <w:szCs w:val="24"/>
        </w:rPr>
        <w:t>   19.2其他：详见招标文件第二章。</w:t>
      </w:r>
    </w:p>
    <w:p w14:paraId="177B3063">
      <w:pPr>
        <w:widowControl/>
        <w:jc w:val="left"/>
        <w:rPr>
          <w:rFonts w:ascii="宋体" w:hAnsi="宋体" w:eastAsia="宋体" w:cs="宋体"/>
          <w:kern w:val="0"/>
          <w:sz w:val="24"/>
          <w:szCs w:val="24"/>
        </w:rPr>
      </w:pPr>
      <w:r>
        <w:rPr>
          <w:rFonts w:ascii="宋体" w:hAnsi="宋体" w:eastAsia="宋体" w:cs="宋体"/>
          <w:kern w:val="0"/>
          <w:sz w:val="24"/>
          <w:szCs w:val="24"/>
        </w:rPr>
        <w:br w:type="page"/>
      </w:r>
    </w:p>
    <w:p w14:paraId="53BC235A">
      <w:pPr>
        <w:widowControl/>
        <w:spacing w:before="75" w:after="75"/>
        <w:jc w:val="center"/>
        <w:rPr>
          <w:rFonts w:ascii="宋体" w:hAnsi="宋体" w:eastAsia="宋体" w:cs="宋体"/>
          <w:kern w:val="0"/>
          <w:sz w:val="24"/>
          <w:szCs w:val="24"/>
        </w:rPr>
      </w:pPr>
      <w:r>
        <w:rPr>
          <w:rFonts w:hint="eastAsia" w:ascii="宋体" w:hAnsi="宋体" w:eastAsia="宋体" w:cs="宋体"/>
          <w:b/>
          <w:bCs/>
          <w:kern w:val="0"/>
          <w:sz w:val="32"/>
          <w:szCs w:val="32"/>
        </w:rPr>
        <w:t>第四章   资格审查与评标</w:t>
      </w:r>
    </w:p>
    <w:p w14:paraId="24A44E19">
      <w:pPr>
        <w:widowControl/>
        <w:spacing w:before="75" w:after="75"/>
        <w:jc w:val="center"/>
        <w:rPr>
          <w:rFonts w:ascii="宋体" w:hAnsi="宋体" w:eastAsia="宋体" w:cs="宋体"/>
          <w:kern w:val="0"/>
          <w:sz w:val="24"/>
          <w:szCs w:val="24"/>
        </w:rPr>
      </w:pPr>
      <w:r>
        <w:rPr>
          <w:rFonts w:ascii="宋体" w:hAnsi="宋体" w:eastAsia="宋体" w:cs="宋体"/>
          <w:kern w:val="0"/>
          <w:sz w:val="24"/>
          <w:szCs w:val="24"/>
        </w:rPr>
        <w:t> </w:t>
      </w:r>
    </w:p>
    <w:p w14:paraId="71447CDA">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 </w:t>
      </w:r>
    </w:p>
    <w:p w14:paraId="06B1A805">
      <w:pPr>
        <w:widowControl/>
        <w:spacing w:before="75" w:after="75"/>
        <w:jc w:val="center"/>
        <w:rPr>
          <w:rFonts w:ascii="宋体" w:hAnsi="宋体" w:eastAsia="宋体" w:cs="宋体"/>
          <w:kern w:val="0"/>
          <w:sz w:val="24"/>
          <w:szCs w:val="24"/>
        </w:rPr>
      </w:pPr>
      <w:r>
        <w:rPr>
          <w:rFonts w:hint="eastAsia" w:ascii="宋体" w:hAnsi="宋体" w:eastAsia="宋体" w:cs="宋体"/>
          <w:b/>
          <w:bCs/>
          <w:kern w:val="0"/>
          <w:sz w:val="24"/>
          <w:szCs w:val="24"/>
        </w:rPr>
        <w:t>一、资格审查</w:t>
      </w:r>
    </w:p>
    <w:p w14:paraId="0F4E496D">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1、开标结束后，由</w:t>
      </w:r>
      <w:r>
        <w:rPr>
          <w:rFonts w:hint="eastAsia" w:ascii="宋体" w:hAnsi="宋体" w:eastAsia="宋体" w:cs="宋体"/>
          <w:kern w:val="0"/>
          <w:sz w:val="24"/>
          <w:szCs w:val="24"/>
          <w:u w:val="single"/>
        </w:rPr>
        <w:t>福建昇华工程造价咨询有限公司</w:t>
      </w:r>
      <w:r>
        <w:rPr>
          <w:rFonts w:hint="eastAsia" w:ascii="宋体" w:hAnsi="宋体" w:eastAsia="宋体" w:cs="宋体"/>
          <w:kern w:val="0"/>
          <w:sz w:val="24"/>
          <w:szCs w:val="24"/>
        </w:rPr>
        <w:t>负责资格审查小组的组建及资格审查工作的组织。</w:t>
      </w:r>
    </w:p>
    <w:p w14:paraId="35317931">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1.1资格审查小组由</w:t>
      </w:r>
      <w:r>
        <w:rPr>
          <w:rFonts w:ascii="Calibri" w:hAnsi="Calibri" w:eastAsia="宋体" w:cs="Calibri"/>
          <w:kern w:val="0"/>
          <w:sz w:val="24"/>
          <w:szCs w:val="24"/>
        </w:rPr>
        <w:t>3</w:t>
      </w:r>
      <w:r>
        <w:rPr>
          <w:rFonts w:hint="eastAsia" w:ascii="宋体" w:hAnsi="宋体" w:eastAsia="宋体" w:cs="宋体"/>
          <w:kern w:val="0"/>
          <w:sz w:val="24"/>
          <w:szCs w:val="24"/>
        </w:rPr>
        <w:t>人组成，并负责具体审查事务，其中：由采购人派出的采购人代表至少</w:t>
      </w:r>
      <w:r>
        <w:rPr>
          <w:rFonts w:hint="eastAsia" w:ascii="宋体" w:hAnsi="宋体" w:eastAsia="宋体" w:cs="宋体"/>
          <w:kern w:val="0"/>
          <w:sz w:val="24"/>
          <w:szCs w:val="24"/>
          <w:u w:val="single"/>
        </w:rPr>
        <w:t>1</w:t>
      </w:r>
      <w:r>
        <w:rPr>
          <w:rFonts w:hint="eastAsia" w:ascii="宋体" w:hAnsi="宋体" w:eastAsia="宋体" w:cs="宋体"/>
          <w:kern w:val="0"/>
          <w:sz w:val="24"/>
          <w:szCs w:val="24"/>
        </w:rPr>
        <w:t>人，由</w:t>
      </w:r>
      <w:r>
        <w:rPr>
          <w:rFonts w:hint="eastAsia" w:ascii="宋体" w:hAnsi="宋体" w:eastAsia="宋体" w:cs="宋体"/>
          <w:kern w:val="0"/>
          <w:sz w:val="24"/>
          <w:szCs w:val="24"/>
          <w:u w:val="single"/>
        </w:rPr>
        <w:t>福建昇华工程造价咨询有限公司</w:t>
      </w:r>
      <w:r>
        <w:rPr>
          <w:rFonts w:hint="eastAsia" w:ascii="宋体" w:hAnsi="宋体" w:eastAsia="宋体" w:cs="宋体"/>
          <w:kern w:val="0"/>
          <w:sz w:val="24"/>
          <w:szCs w:val="24"/>
        </w:rPr>
        <w:t>派出的工作人员至少</w:t>
      </w:r>
      <w:r>
        <w:rPr>
          <w:rFonts w:hint="eastAsia" w:ascii="宋体" w:hAnsi="宋体" w:eastAsia="宋体" w:cs="宋体"/>
          <w:kern w:val="0"/>
          <w:sz w:val="24"/>
          <w:szCs w:val="24"/>
          <w:u w:val="single"/>
        </w:rPr>
        <w:t>1</w:t>
      </w:r>
      <w:r>
        <w:rPr>
          <w:rFonts w:hint="eastAsia" w:ascii="宋体" w:hAnsi="宋体" w:eastAsia="宋体" w:cs="宋体"/>
          <w:kern w:val="0"/>
          <w:sz w:val="24"/>
          <w:szCs w:val="24"/>
        </w:rPr>
        <w:t>人，其余</w:t>
      </w:r>
      <w:r>
        <w:rPr>
          <w:rFonts w:hint="eastAsia" w:ascii="宋体" w:hAnsi="宋体" w:eastAsia="宋体" w:cs="宋体"/>
          <w:kern w:val="0"/>
          <w:sz w:val="24"/>
          <w:szCs w:val="24"/>
          <w:u w:val="single"/>
        </w:rPr>
        <w:t>1</w:t>
      </w:r>
      <w:r>
        <w:rPr>
          <w:rFonts w:hint="eastAsia" w:ascii="宋体" w:hAnsi="宋体" w:eastAsia="宋体" w:cs="宋体"/>
          <w:kern w:val="0"/>
          <w:sz w:val="24"/>
          <w:szCs w:val="24"/>
        </w:rPr>
        <w:t>人可为采购人代表或</w:t>
      </w:r>
      <w:r>
        <w:rPr>
          <w:rFonts w:hint="eastAsia" w:ascii="宋体" w:hAnsi="宋体" w:eastAsia="宋体" w:cs="宋体"/>
          <w:kern w:val="0"/>
          <w:sz w:val="24"/>
          <w:szCs w:val="24"/>
          <w:u w:val="single"/>
        </w:rPr>
        <w:t>福建昇华工程造价咨询有限公司</w:t>
      </w:r>
      <w:r>
        <w:rPr>
          <w:rFonts w:hint="eastAsia" w:ascii="宋体" w:hAnsi="宋体" w:eastAsia="宋体" w:cs="宋体"/>
          <w:kern w:val="0"/>
          <w:sz w:val="24"/>
          <w:szCs w:val="24"/>
        </w:rPr>
        <w:t>的工作人员。</w:t>
      </w:r>
    </w:p>
    <w:p w14:paraId="3887D9FE">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1.2资格审查的依据是招标文件和投标文件。</w:t>
      </w:r>
    </w:p>
    <w:p w14:paraId="72BC7264">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1.3资格审查的范围及内容：投标文件（资格及资信证明部分），具体如下：</w:t>
      </w:r>
    </w:p>
    <w:p w14:paraId="1D5880AA">
      <w:pPr>
        <w:widowControl/>
        <w:spacing w:after="150"/>
        <w:jc w:val="left"/>
        <w:rPr>
          <w:rFonts w:ascii="宋体" w:hAnsi="宋体" w:eastAsia="宋体" w:cs="宋体"/>
          <w:kern w:val="0"/>
          <w:sz w:val="24"/>
          <w:szCs w:val="24"/>
        </w:rPr>
      </w:pPr>
      <w:r>
        <w:rPr>
          <w:rFonts w:hint="eastAsia" w:ascii="宋体" w:hAnsi="宋体" w:eastAsia="宋体" w:cs="宋体"/>
          <w:kern w:val="0"/>
          <w:sz w:val="24"/>
          <w:szCs w:val="24"/>
        </w:rPr>
        <w:t>  （1）“投标函”；</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（2）“投标人的资格及资信证明文件”</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①一般资格证明文件：</w:t>
      </w:r>
    </w:p>
    <w:tbl>
      <w:tblPr>
        <w:tblStyle w:val="9"/>
        <w:tblW w:w="5000" w:type="pct"/>
        <w:tblInd w:w="0" w:type="dxa"/>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autofit"/>
        <w:tblCellMar>
          <w:top w:w="0" w:type="dxa"/>
          <w:left w:w="0" w:type="dxa"/>
          <w:bottom w:w="0" w:type="dxa"/>
          <w:right w:w="0" w:type="dxa"/>
        </w:tblCellMar>
      </w:tblPr>
      <w:tblGrid>
        <w:gridCol w:w="3745"/>
        <w:gridCol w:w="4577"/>
      </w:tblGrid>
      <w:tr w14:paraId="47995436">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rPr>
          <w:tblHeader/>
        </w:trPr>
        <w:tc>
          <w:tcPr>
            <w:tcW w:w="225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C1C2519">
            <w:pPr>
              <w:widowControl/>
              <w:jc w:val="left"/>
              <w:rPr>
                <w:rFonts w:ascii="宋体" w:hAnsi="宋体" w:eastAsia="宋体" w:cs="宋体"/>
                <w:b/>
                <w:bCs/>
                <w:kern w:val="0"/>
                <w:sz w:val="24"/>
                <w:szCs w:val="24"/>
              </w:rPr>
            </w:pPr>
            <w:r>
              <w:rPr>
                <w:rFonts w:ascii="宋体" w:hAnsi="宋体" w:eastAsia="宋体" w:cs="宋体"/>
                <w:b/>
                <w:bCs/>
                <w:kern w:val="0"/>
                <w:sz w:val="24"/>
                <w:szCs w:val="24"/>
              </w:rPr>
              <w:t>明细</w:t>
            </w:r>
          </w:p>
        </w:tc>
        <w:tc>
          <w:tcPr>
            <w:tcW w:w="275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573F622">
            <w:pPr>
              <w:widowControl/>
              <w:jc w:val="left"/>
              <w:rPr>
                <w:rFonts w:ascii="宋体" w:hAnsi="宋体" w:eastAsia="宋体" w:cs="宋体"/>
                <w:b/>
                <w:bCs/>
                <w:kern w:val="0"/>
                <w:sz w:val="24"/>
                <w:szCs w:val="24"/>
              </w:rPr>
            </w:pPr>
            <w:r>
              <w:rPr>
                <w:rFonts w:ascii="宋体" w:hAnsi="宋体" w:eastAsia="宋体" w:cs="宋体"/>
                <w:b/>
                <w:bCs/>
                <w:kern w:val="0"/>
                <w:sz w:val="24"/>
                <w:szCs w:val="24"/>
              </w:rPr>
              <w:t>描述</w:t>
            </w:r>
          </w:p>
        </w:tc>
      </w:tr>
      <w:tr w14:paraId="040E2778">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391D28A1">
            <w:pPr>
              <w:widowControl/>
              <w:jc w:val="left"/>
              <w:rPr>
                <w:rFonts w:ascii="宋体" w:hAnsi="宋体" w:eastAsia="宋体" w:cs="宋体"/>
                <w:kern w:val="0"/>
                <w:sz w:val="24"/>
                <w:szCs w:val="24"/>
              </w:rPr>
            </w:pPr>
            <w:r>
              <w:rPr>
                <w:rFonts w:ascii="宋体" w:hAnsi="宋体" w:eastAsia="宋体" w:cs="宋体"/>
                <w:kern w:val="0"/>
                <w:sz w:val="24"/>
                <w:szCs w:val="24"/>
              </w:rPr>
              <w:t>（1）单位授权书</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7311F8AA">
            <w:pPr>
              <w:widowControl/>
              <w:jc w:val="left"/>
              <w:rPr>
                <w:rFonts w:ascii="宋体" w:hAnsi="宋体" w:eastAsia="宋体" w:cs="宋体"/>
                <w:kern w:val="0"/>
                <w:sz w:val="24"/>
                <w:szCs w:val="24"/>
              </w:rPr>
            </w:pPr>
            <w:r>
              <w:rPr>
                <w:rFonts w:ascii="宋体" w:hAnsi="宋体" w:eastAsia="宋体" w:cs="宋体"/>
                <w:kern w:val="0"/>
                <w:sz w:val="24"/>
                <w:szCs w:val="24"/>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69A3941E">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148F7A0D">
            <w:pPr>
              <w:widowControl/>
              <w:jc w:val="left"/>
              <w:rPr>
                <w:rFonts w:ascii="宋体" w:hAnsi="宋体" w:eastAsia="宋体" w:cs="宋体"/>
                <w:kern w:val="0"/>
                <w:sz w:val="24"/>
                <w:szCs w:val="24"/>
              </w:rPr>
            </w:pPr>
            <w:r>
              <w:rPr>
                <w:rFonts w:ascii="宋体" w:hAnsi="宋体" w:eastAsia="宋体" w:cs="宋体"/>
                <w:kern w:val="0"/>
                <w:sz w:val="24"/>
                <w:szCs w:val="24"/>
              </w:rPr>
              <w:t>（2）营业执照等证明文件</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5022EA45">
            <w:pPr>
              <w:widowControl/>
              <w:jc w:val="left"/>
              <w:rPr>
                <w:rFonts w:ascii="宋体" w:hAnsi="宋体" w:eastAsia="宋体" w:cs="宋体"/>
                <w:kern w:val="0"/>
                <w:sz w:val="24"/>
                <w:szCs w:val="24"/>
              </w:rPr>
            </w:pPr>
            <w:r>
              <w:rPr>
                <w:rFonts w:ascii="宋体" w:hAnsi="宋体" w:eastAsia="宋体" w:cs="宋体"/>
                <w:kern w:val="0"/>
                <w:sz w:val="24"/>
                <w:szCs w:val="24"/>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5B9563CF">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3D098CD0">
            <w:pPr>
              <w:widowControl/>
              <w:jc w:val="left"/>
              <w:rPr>
                <w:rFonts w:ascii="宋体" w:hAnsi="宋体" w:eastAsia="宋体" w:cs="宋体"/>
                <w:kern w:val="0"/>
                <w:sz w:val="24"/>
                <w:szCs w:val="24"/>
              </w:rPr>
            </w:pPr>
            <w:r>
              <w:rPr>
                <w:rFonts w:ascii="宋体" w:hAnsi="宋体" w:eastAsia="宋体" w:cs="宋体"/>
                <w:kern w:val="0"/>
                <w:sz w:val="24"/>
                <w:szCs w:val="24"/>
              </w:rPr>
              <w:t>（3）提供财务状况报告（财务报告、或资信证明）</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24BB123C">
            <w:pPr>
              <w:widowControl/>
              <w:jc w:val="left"/>
              <w:rPr>
                <w:rFonts w:ascii="宋体" w:hAnsi="宋体" w:eastAsia="宋体" w:cs="宋体"/>
                <w:kern w:val="0"/>
                <w:sz w:val="24"/>
                <w:szCs w:val="24"/>
              </w:rPr>
            </w:pPr>
            <w:r>
              <w:rPr>
                <w:rFonts w:ascii="宋体" w:hAnsi="宋体" w:eastAsia="宋体" w:cs="宋体"/>
                <w:kern w:val="0"/>
                <w:sz w:val="24"/>
                <w:szCs w:val="24"/>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114ABA31">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7212318C">
            <w:pPr>
              <w:widowControl/>
              <w:jc w:val="left"/>
              <w:rPr>
                <w:rFonts w:ascii="宋体" w:hAnsi="宋体" w:eastAsia="宋体" w:cs="宋体"/>
                <w:kern w:val="0"/>
                <w:sz w:val="24"/>
                <w:szCs w:val="24"/>
              </w:rPr>
            </w:pPr>
            <w:r>
              <w:rPr>
                <w:rFonts w:ascii="宋体" w:hAnsi="宋体" w:eastAsia="宋体" w:cs="宋体"/>
                <w:kern w:val="0"/>
                <w:sz w:val="24"/>
                <w:szCs w:val="24"/>
              </w:rPr>
              <w:t>（4）依法缴纳税收证明材料</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790DB04D">
            <w:pPr>
              <w:widowControl/>
              <w:jc w:val="left"/>
              <w:rPr>
                <w:rFonts w:ascii="宋体" w:hAnsi="宋体" w:eastAsia="宋体" w:cs="宋体"/>
                <w:kern w:val="0"/>
                <w:sz w:val="24"/>
                <w:szCs w:val="24"/>
              </w:rPr>
            </w:pPr>
            <w:r>
              <w:rPr>
                <w:rFonts w:ascii="宋体" w:hAnsi="宋体" w:eastAsia="宋体" w:cs="宋体"/>
                <w:kern w:val="0"/>
                <w:sz w:val="24"/>
                <w:szCs w:val="24"/>
              </w:rPr>
              <w:t>①投标人提供的税收凭据复印件应符合下列规定： a.投标截止时间前（不含投标截止时间的当月）已依法缴纳税收的投标人，提供投标截止时间前六个月（不含投标截止时间的当月）中任一月份的税收凭据复印件。 b.投标截止时间的当月成立且已依法缴纳税收的投标人，提供投标截止时间当月的税收凭据复印件。 c.投标截止时间的当月成立但因税务机关原因导致其尚未依法缴纳税收的投标人，提供依法缴纳税收承诺书（格式自拟），该承诺书视同税收凭据。</w:t>
            </w:r>
          </w:p>
        </w:tc>
      </w:tr>
      <w:tr w14:paraId="61C9CDF8">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13BA3DFC">
            <w:pPr>
              <w:widowControl/>
              <w:jc w:val="left"/>
              <w:rPr>
                <w:rFonts w:ascii="宋体" w:hAnsi="宋体" w:eastAsia="宋体" w:cs="宋体"/>
                <w:kern w:val="0"/>
                <w:sz w:val="24"/>
                <w:szCs w:val="24"/>
              </w:rPr>
            </w:pPr>
            <w:r>
              <w:rPr>
                <w:rFonts w:ascii="宋体" w:hAnsi="宋体" w:eastAsia="宋体" w:cs="宋体"/>
                <w:kern w:val="0"/>
                <w:sz w:val="24"/>
                <w:szCs w:val="24"/>
              </w:rPr>
              <w:t>（5）依法缴纳社会保障资金证明材料</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3D777566">
            <w:pPr>
              <w:widowControl/>
              <w:jc w:val="left"/>
              <w:rPr>
                <w:rFonts w:ascii="宋体" w:hAnsi="宋体" w:eastAsia="宋体" w:cs="宋体"/>
                <w:kern w:val="0"/>
                <w:sz w:val="24"/>
                <w:szCs w:val="24"/>
              </w:rPr>
            </w:pPr>
            <w:r>
              <w:rPr>
                <w:rFonts w:ascii="宋体" w:hAnsi="宋体" w:eastAsia="宋体" w:cs="宋体"/>
                <w:kern w:val="0"/>
                <w:sz w:val="24"/>
                <w:szCs w:val="24"/>
              </w:rPr>
              <w:t>①投标人提供的社会保险凭据复印件应符合下列规定： a.投标截止时间前（不含投标截止时间的当月）已依法缴纳社会保障资金的投标人，提供投标截止时间前六个月（不含投标截止时间的当月）中任一月份的社会保险凭据复印件。 b.投标截止时间的当月成立且已依法缴纳社会保障资金的投标人，提供投标截止时间当月的社会保险凭据复印件。 c.投标截止标截止时间的当月成立但因税务机关/社会保障资金管理机关原因导致其尚未依法缴纳社会保障资金的投标人，提供依法缴纳社会保障资金承诺书（格式自拟），该承诺书视同社会保险凭据。</w:t>
            </w:r>
          </w:p>
        </w:tc>
      </w:tr>
      <w:tr w14:paraId="7767478F">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2139DCBC">
            <w:pPr>
              <w:widowControl/>
              <w:jc w:val="left"/>
              <w:rPr>
                <w:rFonts w:ascii="宋体" w:hAnsi="宋体" w:eastAsia="宋体" w:cs="宋体"/>
                <w:kern w:val="0"/>
                <w:sz w:val="24"/>
                <w:szCs w:val="24"/>
              </w:rPr>
            </w:pPr>
            <w:r>
              <w:rPr>
                <w:rFonts w:ascii="宋体" w:hAnsi="宋体" w:eastAsia="宋体" w:cs="宋体"/>
                <w:kern w:val="0"/>
                <w:sz w:val="24"/>
                <w:szCs w:val="24"/>
              </w:rPr>
              <w:t>（6）具备履行合同所必需设备和专业技术能力的声明函(若有)</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6B517492">
            <w:pPr>
              <w:widowControl/>
              <w:jc w:val="left"/>
              <w:rPr>
                <w:rFonts w:ascii="宋体" w:hAnsi="宋体" w:eastAsia="宋体" w:cs="宋体"/>
                <w:kern w:val="0"/>
                <w:sz w:val="24"/>
                <w:szCs w:val="24"/>
              </w:rPr>
            </w:pPr>
            <w:r>
              <w:rPr>
                <w:rFonts w:ascii="宋体" w:hAnsi="宋体" w:eastAsia="宋体" w:cs="宋体"/>
                <w:kern w:val="0"/>
                <w:sz w:val="24"/>
                <w:szCs w:val="24"/>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15384BFC">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70CFF910">
            <w:pPr>
              <w:widowControl/>
              <w:jc w:val="left"/>
              <w:rPr>
                <w:rFonts w:ascii="宋体" w:hAnsi="宋体" w:eastAsia="宋体" w:cs="宋体"/>
                <w:kern w:val="0"/>
                <w:sz w:val="24"/>
                <w:szCs w:val="24"/>
              </w:rPr>
            </w:pPr>
            <w:r>
              <w:rPr>
                <w:rFonts w:ascii="宋体" w:hAnsi="宋体" w:eastAsia="宋体" w:cs="宋体"/>
                <w:kern w:val="0"/>
                <w:sz w:val="24"/>
                <w:szCs w:val="24"/>
              </w:rPr>
              <w:t>（7）参加采购活动前三年内在经营活动中没有重大违法记录的声明</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53E678E7">
            <w:pPr>
              <w:widowControl/>
              <w:jc w:val="left"/>
              <w:rPr>
                <w:rFonts w:ascii="宋体" w:hAnsi="宋体" w:eastAsia="宋体" w:cs="宋体"/>
                <w:kern w:val="0"/>
                <w:sz w:val="24"/>
                <w:szCs w:val="24"/>
              </w:rPr>
            </w:pPr>
            <w:r>
              <w:rPr>
                <w:rFonts w:ascii="宋体" w:hAnsi="宋体" w:eastAsia="宋体" w:cs="宋体"/>
                <w:kern w:val="0"/>
                <w:sz w:val="24"/>
                <w:szCs w:val="24"/>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3FC0F240">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68ABE84C">
            <w:pPr>
              <w:widowControl/>
              <w:jc w:val="left"/>
              <w:rPr>
                <w:rFonts w:ascii="宋体" w:hAnsi="宋体" w:eastAsia="宋体" w:cs="宋体"/>
                <w:kern w:val="0"/>
                <w:sz w:val="24"/>
                <w:szCs w:val="24"/>
              </w:rPr>
            </w:pPr>
            <w:r>
              <w:rPr>
                <w:rFonts w:ascii="宋体" w:hAnsi="宋体" w:eastAsia="宋体" w:cs="宋体"/>
                <w:kern w:val="0"/>
                <w:sz w:val="24"/>
                <w:szCs w:val="24"/>
              </w:rPr>
              <w:t>（8）信用记录查询结果</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325518DA">
            <w:pPr>
              <w:widowControl/>
              <w:jc w:val="left"/>
              <w:rPr>
                <w:rFonts w:ascii="宋体" w:hAnsi="宋体" w:eastAsia="宋体" w:cs="宋体"/>
                <w:kern w:val="0"/>
                <w:sz w:val="24"/>
                <w:szCs w:val="24"/>
              </w:rPr>
            </w:pPr>
            <w:r>
              <w:rPr>
                <w:rFonts w:ascii="宋体" w:hAnsi="宋体" w:eastAsia="宋体" w:cs="宋体"/>
                <w:kern w:val="0"/>
                <w:sz w:val="24"/>
                <w:szCs w:val="24"/>
              </w:rPr>
              <w:t>①信用记录查询的截止时点：信用记录查询的截止时点为本项目投标截</w:t>
            </w:r>
            <w:r>
              <w:rPr>
                <w:rFonts w:hint="eastAsia" w:ascii="宋体" w:hAnsi="宋体" w:eastAsia="宋体" w:cs="宋体"/>
                <w:kern w:val="0"/>
                <w:sz w:val="24"/>
                <w:szCs w:val="24"/>
                <w:lang w:val="en-US" w:eastAsia="zh-CN"/>
              </w:rPr>
              <w:t>止</w:t>
            </w:r>
            <w:bookmarkStart w:id="0" w:name="_GoBack"/>
            <w:bookmarkEnd w:id="0"/>
            <w:r>
              <w:rPr>
                <w:rFonts w:ascii="宋体" w:hAnsi="宋体" w:eastAsia="宋体" w:cs="宋体"/>
                <w:kern w:val="0"/>
                <w:sz w:val="24"/>
                <w:szCs w:val="24"/>
              </w:rPr>
              <w:t>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4EAD78D3">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6048023A">
            <w:pPr>
              <w:widowControl/>
              <w:jc w:val="left"/>
              <w:rPr>
                <w:rFonts w:ascii="宋体" w:hAnsi="宋体" w:eastAsia="宋体" w:cs="宋体"/>
                <w:kern w:val="0"/>
                <w:sz w:val="24"/>
                <w:szCs w:val="24"/>
              </w:rPr>
            </w:pPr>
            <w:r>
              <w:rPr>
                <w:rFonts w:ascii="宋体" w:hAnsi="宋体" w:eastAsia="宋体" w:cs="宋体"/>
                <w:kern w:val="0"/>
                <w:sz w:val="24"/>
                <w:szCs w:val="24"/>
              </w:rPr>
              <w:t>（9）中小企业声明函（以资格条件落实中小企业扶持政策时适用 ）</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6F73DFDD">
            <w:pPr>
              <w:widowControl/>
              <w:jc w:val="left"/>
              <w:rPr>
                <w:rFonts w:ascii="宋体" w:hAnsi="宋体" w:eastAsia="宋体" w:cs="宋体"/>
                <w:kern w:val="0"/>
                <w:sz w:val="24"/>
                <w:szCs w:val="24"/>
              </w:rPr>
            </w:pPr>
            <w:r>
              <w:rPr>
                <w:rFonts w:ascii="宋体" w:hAnsi="宋体" w:eastAsia="宋体" w:cs="宋体"/>
                <w:kern w:val="0"/>
                <w:sz w:val="24"/>
                <w:szCs w:val="24"/>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09CFCFA2">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04C06A7B">
            <w:pPr>
              <w:widowControl/>
              <w:jc w:val="left"/>
              <w:rPr>
                <w:rFonts w:ascii="宋体" w:hAnsi="宋体" w:eastAsia="宋体" w:cs="宋体"/>
                <w:kern w:val="0"/>
                <w:sz w:val="24"/>
                <w:szCs w:val="24"/>
              </w:rPr>
            </w:pPr>
            <w:r>
              <w:rPr>
                <w:rFonts w:ascii="宋体" w:hAnsi="宋体" w:eastAsia="宋体" w:cs="宋体"/>
                <w:kern w:val="0"/>
                <w:sz w:val="24"/>
                <w:szCs w:val="24"/>
              </w:rPr>
              <w:t>（10）联合体协议（若有）</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678D0F26">
            <w:pPr>
              <w:widowControl/>
              <w:jc w:val="left"/>
              <w:rPr>
                <w:rFonts w:ascii="宋体" w:hAnsi="宋体" w:eastAsia="宋体" w:cs="宋体"/>
                <w:kern w:val="0"/>
                <w:sz w:val="24"/>
                <w:szCs w:val="24"/>
              </w:rPr>
            </w:pPr>
            <w:r>
              <w:rPr>
                <w:rFonts w:ascii="宋体" w:hAnsi="宋体" w:eastAsia="宋体" w:cs="宋体"/>
                <w:kern w:val="0"/>
                <w:sz w:val="24"/>
                <w:szCs w:val="24"/>
              </w:rPr>
              <w:t>①招标文件接受联合体投标且投标人为联合体的，投标人应提供本协议；否则无须提供。 ②本协议由委托代理人签字或盖章的，应按照招标文件第七章载明的格式提供“单位授权书”。</w:t>
            </w:r>
          </w:p>
        </w:tc>
      </w:tr>
    </w:tbl>
    <w:p w14:paraId="48BDEBE2">
      <w:pPr>
        <w:widowControl/>
        <w:jc w:val="left"/>
        <w:rPr>
          <w:rFonts w:ascii="宋体" w:hAnsi="宋体" w:eastAsia="宋体" w:cs="宋体"/>
          <w:kern w:val="0"/>
          <w:sz w:val="24"/>
          <w:szCs w:val="24"/>
        </w:rPr>
      </w:pPr>
      <w:r>
        <w:rPr>
          <w:rFonts w:ascii="宋体" w:hAnsi="宋体" w:eastAsia="宋体" w:cs="宋体"/>
          <w:kern w:val="0"/>
          <w:sz w:val="24"/>
          <w:szCs w:val="24"/>
        </w:rPr>
        <w:t>   </w:t>
      </w:r>
    </w:p>
    <w:p w14:paraId="5DBD9F23">
      <w:pPr>
        <w:widowControl/>
        <w:spacing w:after="150"/>
        <w:jc w:val="left"/>
        <w:rPr>
          <w:rFonts w:ascii="宋体" w:hAnsi="宋体" w:eastAsia="宋体" w:cs="宋体"/>
          <w:kern w:val="0"/>
          <w:sz w:val="24"/>
          <w:szCs w:val="24"/>
        </w:rPr>
      </w:pPr>
      <w:r>
        <w:rPr>
          <w:rFonts w:hint="eastAsia" w:ascii="宋体" w:hAnsi="宋体" w:eastAsia="宋体" w:cs="宋体"/>
          <w:kern w:val="0"/>
          <w:sz w:val="24"/>
          <w:szCs w:val="24"/>
        </w:rPr>
        <w:t>※备注说明</w:t>
      </w:r>
      <w:r>
        <w:rPr>
          <w:rFonts w:hint="eastAsia" w:ascii="宋体" w:hAnsi="宋体" w:eastAsia="宋体" w:cs="宋体"/>
          <w:kern w:val="0"/>
          <w:sz w:val="24"/>
          <w:szCs w:val="24"/>
        </w:rPr>
        <w:br w:type="textWrapping"/>
      </w:r>
    </w:p>
    <w:p w14:paraId="1AF47BDA">
      <w:pPr>
        <w:widowControl/>
        <w:spacing w:after="150"/>
        <w:jc w:val="left"/>
        <w:rPr>
          <w:rFonts w:ascii="宋体" w:hAnsi="宋体" w:eastAsia="宋体" w:cs="宋体"/>
          <w:kern w:val="0"/>
          <w:sz w:val="24"/>
          <w:szCs w:val="24"/>
        </w:rPr>
      </w:pPr>
      <w:r>
        <w:rPr>
          <w:rFonts w:hint="eastAsia" w:ascii="宋体" w:hAnsi="宋体" w:eastAsia="宋体" w:cs="宋体"/>
          <w:kern w:val="0"/>
          <w:sz w:val="24"/>
          <w:szCs w:val="24"/>
        </w:rPr>
        <w:t>①投标人应根据自身实际情况提供上述资格要求的证明材料，格式可参考招标文件第七章提供。</w:t>
      </w:r>
    </w:p>
    <w:p w14:paraId="77177B2C">
      <w:pPr>
        <w:widowControl/>
        <w:spacing w:after="150"/>
        <w:jc w:val="left"/>
        <w:rPr>
          <w:rFonts w:ascii="宋体" w:hAnsi="宋体" w:eastAsia="宋体" w:cs="宋体"/>
          <w:kern w:val="0"/>
          <w:sz w:val="24"/>
          <w:szCs w:val="24"/>
        </w:rPr>
      </w:pPr>
      <w:r>
        <w:rPr>
          <w:rFonts w:hint="eastAsia" w:ascii="宋体" w:hAnsi="宋体" w:eastAsia="宋体" w:cs="宋体"/>
          <w:kern w:val="0"/>
          <w:sz w:val="24"/>
          <w:szCs w:val="24"/>
        </w:rPr>
        <w:t>②投标人提供的相应证明材料复印件均应符合：内容完整、清晰、整洁，并由投标人加盖其单位公章。</w:t>
      </w:r>
    </w:p>
    <w:p w14:paraId="241D1FF0">
      <w:pPr>
        <w:widowControl/>
        <w:spacing w:after="150"/>
        <w:jc w:val="left"/>
        <w:rPr>
          <w:rFonts w:ascii="宋体" w:hAnsi="宋体" w:eastAsia="宋体" w:cs="宋体"/>
          <w:kern w:val="0"/>
          <w:sz w:val="24"/>
          <w:szCs w:val="24"/>
        </w:rPr>
      </w:pPr>
      <w:r>
        <w:rPr>
          <w:rFonts w:ascii="宋体" w:hAnsi="宋体" w:eastAsia="宋体" w:cs="宋体"/>
          <w:kern w:val="0"/>
          <w:sz w:val="24"/>
          <w:szCs w:val="24"/>
        </w:rPr>
        <w:br w:type="textWrapping"/>
      </w:r>
      <w:r>
        <w:rPr>
          <w:rFonts w:hint="eastAsia" w:ascii="宋体" w:hAnsi="宋体" w:eastAsia="宋体" w:cs="宋体"/>
          <w:kern w:val="0"/>
          <w:sz w:val="24"/>
          <w:szCs w:val="24"/>
        </w:rPr>
        <w:br w:type="textWrapping"/>
      </w:r>
      <w:r>
        <w:rPr>
          <w:rFonts w:hint="eastAsia" w:ascii="宋体" w:hAnsi="宋体" w:eastAsia="宋体" w:cs="宋体"/>
          <w:kern w:val="0"/>
          <w:sz w:val="24"/>
          <w:szCs w:val="24"/>
        </w:rPr>
        <w:t>   ②.其他资格证明文件：</w:t>
      </w:r>
    </w:p>
    <w:p w14:paraId="01D61599">
      <w:pPr>
        <w:widowControl/>
        <w:spacing w:before="75" w:after="75"/>
        <w:ind w:firstLine="480"/>
        <w:jc w:val="left"/>
        <w:rPr>
          <w:rFonts w:ascii="宋体" w:hAnsi="宋体" w:eastAsia="宋体" w:cs="宋体"/>
          <w:kern w:val="0"/>
          <w:sz w:val="24"/>
          <w:szCs w:val="24"/>
        </w:rPr>
      </w:pPr>
      <w:r>
        <w:rPr>
          <w:rFonts w:ascii="宋体" w:hAnsi="宋体" w:eastAsia="宋体" w:cs="宋体"/>
          <w:b/>
          <w:bCs/>
          <w:kern w:val="0"/>
          <w:sz w:val="24"/>
          <w:szCs w:val="24"/>
        </w:rPr>
        <w:t>包：1</w:t>
      </w:r>
      <w:r>
        <w:rPr>
          <w:rFonts w:ascii="宋体" w:hAnsi="宋体" w:eastAsia="宋体" w:cs="宋体"/>
          <w:kern w:val="0"/>
          <w:sz w:val="24"/>
          <w:szCs w:val="24"/>
        </w:rPr>
        <w:br w:type="textWrapping"/>
      </w:r>
      <w:r>
        <w:rPr>
          <w:rFonts w:ascii="宋体" w:hAnsi="宋体" w:eastAsia="宋体" w:cs="宋体"/>
          <w:b/>
          <w:bCs/>
          <w:kern w:val="0"/>
          <w:sz w:val="24"/>
          <w:szCs w:val="24"/>
        </w:rPr>
        <w:t>         无</w:t>
      </w:r>
    </w:p>
    <w:p w14:paraId="6456B218">
      <w:pPr>
        <w:widowControl/>
        <w:jc w:val="left"/>
        <w:rPr>
          <w:rFonts w:ascii="宋体" w:hAnsi="宋体" w:eastAsia="宋体" w:cs="宋体"/>
          <w:kern w:val="0"/>
          <w:sz w:val="24"/>
          <w:szCs w:val="24"/>
        </w:rPr>
      </w:pPr>
      <w:r>
        <w:rPr>
          <w:rFonts w:ascii="宋体" w:hAnsi="宋体" w:eastAsia="宋体" w:cs="宋体"/>
          <w:kern w:val="0"/>
          <w:sz w:val="24"/>
          <w:szCs w:val="24"/>
        </w:rPr>
        <w:br w:type="textWrapping"/>
      </w:r>
      <w:r>
        <w:rPr>
          <w:rFonts w:hint="eastAsia" w:ascii="宋体" w:hAnsi="宋体" w:eastAsia="宋体" w:cs="宋体"/>
          <w:kern w:val="0"/>
          <w:sz w:val="24"/>
          <w:szCs w:val="24"/>
        </w:rPr>
        <w:t>  （3）投标保证金。</w:t>
      </w:r>
    </w:p>
    <w:p w14:paraId="6F8FB91A">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1.4有下列情形之一的，</w:t>
      </w:r>
      <w:r>
        <w:rPr>
          <w:rFonts w:hint="eastAsia" w:ascii="宋体" w:hAnsi="宋体" w:eastAsia="宋体" w:cs="宋体"/>
          <w:b/>
          <w:bCs/>
          <w:kern w:val="0"/>
          <w:sz w:val="24"/>
          <w:szCs w:val="24"/>
        </w:rPr>
        <w:t>资格审查不合格：</w:t>
      </w:r>
      <w:r>
        <w:rPr>
          <w:rFonts w:hint="eastAsia" w:ascii="宋体" w:hAnsi="宋体" w:eastAsia="宋体" w:cs="宋体"/>
          <w:b/>
          <w:bCs/>
          <w:kern w:val="0"/>
          <w:sz w:val="24"/>
          <w:szCs w:val="24"/>
        </w:rPr>
        <w:br w:type="textWrapping"/>
      </w:r>
      <w:r>
        <w:rPr>
          <w:rFonts w:hint="eastAsia" w:ascii="宋体" w:hAnsi="宋体" w:eastAsia="宋体" w:cs="宋体"/>
          <w:kern w:val="0"/>
          <w:sz w:val="24"/>
          <w:szCs w:val="24"/>
        </w:rPr>
        <w:t>  （1）一般情形：</w:t>
      </w:r>
    </w:p>
    <w:tbl>
      <w:tblPr>
        <w:tblStyle w:val="9"/>
        <w:tblW w:w="5000" w:type="pct"/>
        <w:tblInd w:w="0" w:type="dxa"/>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autofit"/>
        <w:tblCellMar>
          <w:top w:w="0" w:type="dxa"/>
          <w:left w:w="0" w:type="dxa"/>
          <w:bottom w:w="0" w:type="dxa"/>
          <w:right w:w="0" w:type="dxa"/>
        </w:tblCellMar>
      </w:tblPr>
      <w:tblGrid>
        <w:gridCol w:w="8322"/>
      </w:tblGrid>
      <w:tr w14:paraId="187ACBE6">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rPr>
          <w:tblHeader/>
        </w:trPr>
        <w:tc>
          <w:tcPr>
            <w:tcW w:w="500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226C39C">
            <w:pPr>
              <w:widowControl/>
              <w:jc w:val="left"/>
              <w:rPr>
                <w:rFonts w:ascii="宋体" w:hAnsi="宋体" w:eastAsia="宋体" w:cs="宋体"/>
                <w:b/>
                <w:bCs/>
                <w:kern w:val="0"/>
                <w:sz w:val="24"/>
                <w:szCs w:val="24"/>
              </w:rPr>
            </w:pPr>
            <w:r>
              <w:rPr>
                <w:rFonts w:ascii="宋体" w:hAnsi="宋体" w:eastAsia="宋体" w:cs="宋体"/>
                <w:b/>
                <w:bCs/>
                <w:kern w:val="0"/>
                <w:sz w:val="24"/>
                <w:szCs w:val="24"/>
              </w:rPr>
              <w:t>明细</w:t>
            </w:r>
          </w:p>
        </w:tc>
      </w:tr>
      <w:tr w14:paraId="42FCB6C3">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5CDCEECA">
            <w:pPr>
              <w:widowControl/>
              <w:jc w:val="left"/>
              <w:rPr>
                <w:rFonts w:ascii="宋体" w:hAnsi="宋体" w:eastAsia="宋体" w:cs="宋体"/>
                <w:kern w:val="0"/>
                <w:sz w:val="24"/>
                <w:szCs w:val="24"/>
              </w:rPr>
            </w:pPr>
            <w:r>
              <w:rPr>
                <w:rFonts w:ascii="宋体" w:hAnsi="宋体" w:eastAsia="宋体" w:cs="宋体"/>
                <w:kern w:val="0"/>
                <w:sz w:val="24"/>
                <w:szCs w:val="24"/>
              </w:rPr>
              <w:t>未按照招标文件规定提交投标函</w:t>
            </w:r>
          </w:p>
        </w:tc>
      </w:tr>
      <w:tr w14:paraId="19DDD898">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19F5B69B">
            <w:pPr>
              <w:widowControl/>
              <w:jc w:val="left"/>
              <w:rPr>
                <w:rFonts w:ascii="宋体" w:hAnsi="宋体" w:eastAsia="宋体" w:cs="宋体"/>
                <w:kern w:val="0"/>
                <w:sz w:val="24"/>
                <w:szCs w:val="24"/>
              </w:rPr>
            </w:pPr>
            <w:r>
              <w:rPr>
                <w:rFonts w:ascii="宋体" w:hAnsi="宋体" w:eastAsia="宋体" w:cs="宋体"/>
                <w:kern w:val="0"/>
                <w:sz w:val="24"/>
                <w:szCs w:val="24"/>
              </w:rPr>
              <w:t>未按照招标文件规定提交投标人的资格及资信文件</w:t>
            </w:r>
          </w:p>
        </w:tc>
      </w:tr>
      <w:tr w14:paraId="121B1D00">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5A9259B7">
            <w:pPr>
              <w:widowControl/>
              <w:jc w:val="left"/>
              <w:rPr>
                <w:rFonts w:ascii="宋体" w:hAnsi="宋体" w:eastAsia="宋体" w:cs="宋体"/>
                <w:kern w:val="0"/>
                <w:sz w:val="24"/>
                <w:szCs w:val="24"/>
              </w:rPr>
            </w:pPr>
            <w:r>
              <w:rPr>
                <w:rFonts w:ascii="宋体" w:hAnsi="宋体" w:eastAsia="宋体" w:cs="宋体"/>
                <w:kern w:val="0"/>
                <w:sz w:val="24"/>
                <w:szCs w:val="24"/>
              </w:rPr>
              <w:t>未按照招标文件规定提交投标保证金</w:t>
            </w:r>
          </w:p>
        </w:tc>
      </w:tr>
    </w:tbl>
    <w:p w14:paraId="770E6B55">
      <w:pPr>
        <w:widowControl/>
        <w:jc w:val="left"/>
        <w:rPr>
          <w:rFonts w:ascii="宋体" w:hAnsi="宋体" w:eastAsia="宋体" w:cs="宋体"/>
          <w:kern w:val="0"/>
          <w:sz w:val="24"/>
          <w:szCs w:val="24"/>
        </w:rPr>
      </w:pPr>
      <w:r>
        <w:rPr>
          <w:rFonts w:ascii="宋体" w:hAnsi="宋体" w:eastAsia="宋体" w:cs="宋体"/>
          <w:kern w:val="0"/>
          <w:sz w:val="24"/>
          <w:szCs w:val="24"/>
        </w:rPr>
        <w:br w:type="textWrapping"/>
      </w:r>
      <w:r>
        <w:rPr>
          <w:rFonts w:ascii="宋体" w:hAnsi="宋体" w:eastAsia="宋体" w:cs="宋体"/>
          <w:kern w:val="0"/>
          <w:sz w:val="24"/>
          <w:szCs w:val="24"/>
        </w:rPr>
        <w:t>  （2）本项目规定的其他情形：</w:t>
      </w:r>
    </w:p>
    <w:p w14:paraId="64A366FC">
      <w:pPr>
        <w:widowControl/>
        <w:spacing w:after="150"/>
        <w:ind w:firstLine="480"/>
        <w:jc w:val="left"/>
        <w:rPr>
          <w:rFonts w:ascii="宋体" w:hAnsi="宋体" w:eastAsia="宋体" w:cs="宋体"/>
          <w:kern w:val="0"/>
          <w:sz w:val="24"/>
          <w:szCs w:val="24"/>
        </w:rPr>
      </w:pPr>
      <w:r>
        <w:rPr>
          <w:rFonts w:ascii="宋体" w:hAnsi="宋体" w:eastAsia="宋体" w:cs="宋体"/>
          <w:b/>
          <w:bCs/>
          <w:kern w:val="0"/>
          <w:sz w:val="24"/>
          <w:szCs w:val="24"/>
        </w:rPr>
        <w:t>包：1</w:t>
      </w:r>
      <w:r>
        <w:rPr>
          <w:rFonts w:ascii="宋体" w:hAnsi="宋体" w:eastAsia="宋体" w:cs="宋体"/>
          <w:kern w:val="0"/>
          <w:sz w:val="24"/>
          <w:szCs w:val="24"/>
        </w:rPr>
        <w:br w:type="textWrapping"/>
      </w:r>
      <w:r>
        <w:rPr>
          <w:rFonts w:ascii="宋体" w:hAnsi="宋体" w:eastAsia="宋体" w:cs="宋体"/>
          <w:b/>
          <w:bCs/>
          <w:kern w:val="0"/>
          <w:sz w:val="24"/>
          <w:szCs w:val="24"/>
        </w:rPr>
        <w:t>         无</w:t>
      </w:r>
    </w:p>
    <w:p w14:paraId="7FD21DC4">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1.5若本项目接受联合体投标且投标人为联合体，联合体中有同类资质的供应商按照联合体分工承担相同工作的，应先按照资质等级较低的供应商确定资质等级，再按照本章第</w:t>
      </w:r>
      <w:r>
        <w:rPr>
          <w:rFonts w:ascii="Calibri" w:hAnsi="Calibri" w:eastAsia="宋体" w:cs="Calibri"/>
          <w:kern w:val="0"/>
          <w:sz w:val="24"/>
          <w:szCs w:val="24"/>
        </w:rPr>
        <w:t>1.2</w:t>
      </w:r>
      <w:r>
        <w:rPr>
          <w:rFonts w:hint="eastAsia" w:ascii="宋体" w:hAnsi="宋体" w:eastAsia="宋体" w:cs="宋体"/>
          <w:kern w:val="0"/>
          <w:sz w:val="24"/>
          <w:szCs w:val="24"/>
        </w:rPr>
        <w:t>、</w:t>
      </w:r>
      <w:r>
        <w:rPr>
          <w:rFonts w:ascii="Calibri" w:hAnsi="Calibri" w:eastAsia="宋体" w:cs="Calibri"/>
          <w:kern w:val="0"/>
          <w:sz w:val="24"/>
          <w:szCs w:val="24"/>
        </w:rPr>
        <w:t>1.3</w:t>
      </w:r>
      <w:r>
        <w:rPr>
          <w:rFonts w:hint="eastAsia" w:ascii="宋体" w:hAnsi="宋体" w:eastAsia="宋体" w:cs="宋体"/>
          <w:kern w:val="0"/>
          <w:sz w:val="24"/>
          <w:szCs w:val="24"/>
        </w:rPr>
        <w:t>、</w:t>
      </w:r>
      <w:r>
        <w:rPr>
          <w:rFonts w:ascii="Calibri" w:hAnsi="Calibri" w:eastAsia="宋体" w:cs="Calibri"/>
          <w:kern w:val="0"/>
          <w:sz w:val="24"/>
          <w:szCs w:val="24"/>
        </w:rPr>
        <w:t>1.4</w:t>
      </w:r>
      <w:r>
        <w:rPr>
          <w:rFonts w:hint="eastAsia" w:ascii="宋体" w:hAnsi="宋体" w:eastAsia="宋体" w:cs="宋体"/>
          <w:kern w:val="0"/>
          <w:sz w:val="24"/>
          <w:szCs w:val="24"/>
        </w:rPr>
        <w:t>条规定进行资格审查。</w:t>
      </w:r>
    </w:p>
    <w:p w14:paraId="7336D4D4">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2、资格审查情况不得私自外泄，有关信息由</w:t>
      </w:r>
      <w:r>
        <w:rPr>
          <w:rFonts w:hint="eastAsia" w:ascii="宋体" w:hAnsi="宋体" w:eastAsia="宋体" w:cs="宋体"/>
          <w:kern w:val="0"/>
          <w:sz w:val="24"/>
          <w:szCs w:val="24"/>
          <w:u w:val="single"/>
        </w:rPr>
        <w:t>福建昇华工程造价咨询有限公司</w:t>
      </w:r>
      <w:r>
        <w:rPr>
          <w:rFonts w:hint="eastAsia" w:ascii="宋体" w:hAnsi="宋体" w:eastAsia="宋体" w:cs="宋体"/>
          <w:kern w:val="0"/>
          <w:sz w:val="24"/>
          <w:szCs w:val="24"/>
        </w:rPr>
        <w:t>统一对外发布。</w:t>
      </w:r>
    </w:p>
    <w:p w14:paraId="032321F1">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3、资格审查合格的投标人不足三家的，不进行评标。同时，本次采购活动结束，</w:t>
      </w:r>
      <w:r>
        <w:rPr>
          <w:rFonts w:hint="eastAsia" w:ascii="宋体" w:hAnsi="宋体" w:eastAsia="宋体" w:cs="宋体"/>
          <w:kern w:val="0"/>
          <w:sz w:val="24"/>
          <w:szCs w:val="24"/>
          <w:u w:val="single"/>
        </w:rPr>
        <w:t>福建昇华工程造价咨询有限公司</w:t>
      </w:r>
      <w:r>
        <w:rPr>
          <w:rFonts w:hint="eastAsia" w:ascii="宋体" w:hAnsi="宋体" w:eastAsia="宋体" w:cs="宋体"/>
          <w:kern w:val="0"/>
          <w:sz w:val="24"/>
          <w:szCs w:val="24"/>
        </w:rPr>
        <w:t>将依法组织后续采购活动（包括但不限于：重新招标、采用其他方式采购等）。</w:t>
      </w:r>
    </w:p>
    <w:p w14:paraId="38D0E8AF">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14:paraId="3F4BC429">
      <w:pPr>
        <w:widowControl/>
        <w:spacing w:before="75" w:after="75"/>
        <w:jc w:val="center"/>
        <w:rPr>
          <w:rFonts w:ascii="宋体" w:hAnsi="宋体" w:eastAsia="宋体" w:cs="宋体"/>
          <w:kern w:val="0"/>
          <w:sz w:val="24"/>
          <w:szCs w:val="24"/>
        </w:rPr>
      </w:pPr>
      <w:r>
        <w:rPr>
          <w:rFonts w:hint="eastAsia" w:ascii="宋体" w:hAnsi="宋体" w:eastAsia="宋体" w:cs="宋体"/>
          <w:b/>
          <w:bCs/>
          <w:kern w:val="0"/>
          <w:sz w:val="24"/>
          <w:szCs w:val="24"/>
        </w:rPr>
        <w:t>二、评标</w:t>
      </w:r>
    </w:p>
    <w:p w14:paraId="24ED2975">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4、资格审查结束后，由福建昇华工程造价咨询有限公司负责评标委员会的组建及评标工作的组织。</w:t>
      </w:r>
    </w:p>
    <w:p w14:paraId="62C223B5">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5、评标委员会</w:t>
      </w:r>
    </w:p>
    <w:p w14:paraId="37B721E9">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5.1评标委员会由采购人代表和评标专家两部分共</w:t>
      </w:r>
      <w:r>
        <w:rPr>
          <w:rFonts w:hint="eastAsia" w:ascii="宋体" w:hAnsi="宋体" w:eastAsia="宋体" w:cs="宋体"/>
          <w:kern w:val="0"/>
          <w:sz w:val="24"/>
          <w:szCs w:val="24"/>
          <w:u w:val="single"/>
        </w:rPr>
        <w:t>7</w:t>
      </w:r>
      <w:r>
        <w:rPr>
          <w:rFonts w:hint="eastAsia" w:ascii="宋体" w:hAnsi="宋体" w:eastAsia="宋体" w:cs="宋体"/>
          <w:kern w:val="0"/>
          <w:sz w:val="24"/>
          <w:szCs w:val="24"/>
        </w:rPr>
        <w:t>人（以下简称“评委”）组成，其中：由采购人派出的采购人代表</w:t>
      </w:r>
      <w:r>
        <w:rPr>
          <w:rFonts w:hint="eastAsia" w:ascii="宋体" w:hAnsi="宋体" w:eastAsia="宋体" w:cs="宋体"/>
          <w:kern w:val="0"/>
          <w:sz w:val="24"/>
          <w:szCs w:val="24"/>
          <w:u w:val="single"/>
        </w:rPr>
        <w:t>2</w:t>
      </w:r>
      <w:r>
        <w:rPr>
          <w:rFonts w:hint="eastAsia" w:ascii="宋体" w:hAnsi="宋体" w:eastAsia="宋体" w:cs="宋体"/>
          <w:kern w:val="0"/>
          <w:sz w:val="24"/>
          <w:szCs w:val="24"/>
        </w:rPr>
        <w:t>人，由福建省政府采购评审专家库产生的评标专家</w:t>
      </w:r>
      <w:r>
        <w:rPr>
          <w:rFonts w:hint="eastAsia" w:ascii="宋体" w:hAnsi="宋体" w:eastAsia="宋体" w:cs="宋体"/>
          <w:kern w:val="0"/>
          <w:sz w:val="24"/>
          <w:szCs w:val="24"/>
          <w:u w:val="single"/>
        </w:rPr>
        <w:t>5</w:t>
      </w:r>
      <w:r>
        <w:rPr>
          <w:rFonts w:hint="eastAsia" w:ascii="宋体" w:hAnsi="宋体" w:eastAsia="宋体" w:cs="宋体"/>
          <w:kern w:val="0"/>
          <w:sz w:val="24"/>
          <w:szCs w:val="24"/>
        </w:rPr>
        <w:t>人。</w:t>
      </w:r>
    </w:p>
    <w:p w14:paraId="1A191EB8">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5.2评标委员会负责具体评标事务，并按照下列原则依法独立履行有关职责：</w:t>
      </w:r>
    </w:p>
    <w:p w14:paraId="19FA4B6A">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（1）评标应保护国家利益、社会公共利益和各方当事人合法权益，提高采购效益，保证项目质量。</w:t>
      </w:r>
    </w:p>
    <w:p w14:paraId="3756E3E7">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（2）评标应遵循公平、公正、科学、严谨和择优原则。</w:t>
      </w:r>
    </w:p>
    <w:p w14:paraId="1DA0693B">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（3）评标的依据是招标文件和投标文件。</w:t>
      </w:r>
    </w:p>
    <w:p w14:paraId="165D97D5">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（4）应按照招标文件规定推荐中标候选人或确定中标人。</w:t>
      </w:r>
    </w:p>
    <w:p w14:paraId="33C29CEC">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（5）评标应遵守下列评标纪律：</w:t>
      </w:r>
    </w:p>
    <w:p w14:paraId="6599B89C">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①评标情况不得私自外泄，有关信息由</w:t>
      </w:r>
      <w:r>
        <w:rPr>
          <w:rFonts w:hint="eastAsia" w:ascii="宋体" w:hAnsi="宋体" w:eastAsia="宋体" w:cs="宋体"/>
          <w:kern w:val="0"/>
          <w:sz w:val="24"/>
          <w:szCs w:val="24"/>
          <w:u w:val="single"/>
        </w:rPr>
        <w:t>福建昇华工程造价咨询有限公司</w:t>
      </w:r>
      <w:r>
        <w:rPr>
          <w:rFonts w:hint="eastAsia" w:ascii="宋体" w:hAnsi="宋体" w:eastAsia="宋体" w:cs="宋体"/>
          <w:kern w:val="0"/>
          <w:sz w:val="24"/>
          <w:szCs w:val="24"/>
        </w:rPr>
        <w:t>统一对外发布。</w:t>
      </w:r>
    </w:p>
    <w:p w14:paraId="2CC8BF64">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②对</w:t>
      </w:r>
      <w:r>
        <w:rPr>
          <w:rFonts w:hint="eastAsia" w:ascii="宋体" w:hAnsi="宋体" w:eastAsia="宋体" w:cs="宋体"/>
          <w:kern w:val="0"/>
          <w:sz w:val="24"/>
          <w:szCs w:val="24"/>
          <w:u w:val="single"/>
        </w:rPr>
        <w:t>福建昇华工程造价咨询有限公司</w:t>
      </w:r>
      <w:r>
        <w:rPr>
          <w:rFonts w:hint="eastAsia" w:ascii="宋体" w:hAnsi="宋体" w:eastAsia="宋体" w:cs="宋体"/>
          <w:kern w:val="0"/>
          <w:sz w:val="24"/>
          <w:szCs w:val="24"/>
        </w:rPr>
        <w:t>或投标人提供的要求保密的资料，不得摘记翻印和外传。</w:t>
      </w:r>
    </w:p>
    <w:p w14:paraId="4C2F5A97">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③不得收受投标人或有关人员的任何礼物，不得串联鼓动其他人袒护某投标人。若与投标人存在利害关系，则应主动声明并回避。</w:t>
      </w:r>
    </w:p>
    <w:p w14:paraId="4A864303">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④全体评委应按照招标文件规定进行评标，一切认定事项应查有实据且不得弄虚作假。</w:t>
      </w:r>
    </w:p>
    <w:p w14:paraId="6EE39A2E">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⑤评标中应充分发扬民主，推荐中标候选人或确定中标人后要服从评标报告。</w:t>
      </w:r>
    </w:p>
    <w:p w14:paraId="6EB15272">
      <w:pPr>
        <w:widowControl/>
        <w:spacing w:before="75" w:after="75"/>
        <w:ind w:firstLine="480"/>
        <w:jc w:val="left"/>
        <w:rPr>
          <w:rFonts w:ascii="宋体" w:hAnsi="宋体" w:eastAsia="宋体" w:cs="宋体"/>
          <w:kern w:val="0"/>
          <w:sz w:val="24"/>
          <w:szCs w:val="24"/>
        </w:rPr>
      </w:pPr>
      <w:r>
        <w:rPr>
          <w:rFonts w:hint="eastAsia" w:ascii="宋体" w:hAnsi="宋体" w:eastAsia="宋体" w:cs="宋体"/>
          <w:b/>
          <w:bCs/>
          <w:kern w:val="0"/>
          <w:sz w:val="24"/>
          <w:szCs w:val="24"/>
        </w:rPr>
        <w:t>※对违反评标纪律的评委，将取消其评委资格，对评标工作造成严重损失者将予以通报批评乃至追究法律责任。</w:t>
      </w:r>
    </w:p>
    <w:p w14:paraId="02419613">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6、评标程序</w:t>
      </w:r>
    </w:p>
    <w:p w14:paraId="5D670116">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6.1评标前的准备工作</w:t>
      </w:r>
    </w:p>
    <w:p w14:paraId="4F9487B7">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（1）全体评委应认真审阅招标文件，了解评委应履行或遵守的职责、义务和评标纪律。</w:t>
      </w:r>
    </w:p>
    <w:p w14:paraId="5C0834DF">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（2）参加评标委员会的采购人代表可对本项目的背景和采购需求进行介绍，介绍材料应以书面形式提交（随采购文件一并存档），介绍内容不得含有歧视性、倾向性意见，不得超出招标文件所述范围。</w:t>
      </w:r>
    </w:p>
    <w:p w14:paraId="06F7044C">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6.2符合性审查</w:t>
      </w:r>
    </w:p>
    <w:p w14:paraId="5F830140">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（1）评标委员会依据招标文件的实质性要求，对通过资格审查的投标文件进行符合性审查，以确定其是否满足招标文件的实质性要求。</w:t>
      </w:r>
    </w:p>
    <w:p w14:paraId="0C9BCD9F">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（2）满足招标文件的实质性要求指投标文件对招标文件实质性要求的响应不存在重大偏差或保留。</w:t>
      </w:r>
    </w:p>
    <w:p w14:paraId="0887829B">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0BEBD5B6">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4）评标委员会审查判断投标文件是否满足招标文件的实质性要求仅基于投标文件本身而不寻求其他的外部证据。未满足招标文件实质性要求的投标文件将被评标委员会否决（即符合性审查不合格），被否决的投标文件不能通过补充、修改（澄清、说明或补正）等方式重新成为满足招标文件实质性要求的投标文件。</w:t>
      </w:r>
    </w:p>
    <w:p w14:paraId="08EB750C">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（5）评标委员会对所有投标人都执行相同的程序和标准。</w:t>
      </w:r>
    </w:p>
    <w:p w14:paraId="42BA1724">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（6）有下列情形之一的，</w:t>
      </w:r>
      <w:r>
        <w:rPr>
          <w:rFonts w:hint="eastAsia" w:ascii="宋体" w:hAnsi="宋体" w:eastAsia="宋体" w:cs="宋体"/>
          <w:b/>
          <w:bCs/>
          <w:kern w:val="0"/>
          <w:sz w:val="24"/>
          <w:szCs w:val="24"/>
        </w:rPr>
        <w:t>符合性审查不合格：</w:t>
      </w:r>
    </w:p>
    <w:p w14:paraId="5C163FFE">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①项目一般情形：</w:t>
      </w:r>
      <w:r>
        <w:rPr>
          <w:rFonts w:hint="eastAsia" w:ascii="宋体" w:hAnsi="宋体" w:eastAsia="宋体" w:cs="宋体"/>
          <w:kern w:val="0"/>
          <w:sz w:val="24"/>
          <w:szCs w:val="24"/>
        </w:rPr>
        <w:br w:type="textWrapping"/>
      </w:r>
    </w:p>
    <w:tbl>
      <w:tblPr>
        <w:tblStyle w:val="9"/>
        <w:tblW w:w="5000" w:type="pct"/>
        <w:tblInd w:w="0" w:type="dxa"/>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autofit"/>
        <w:tblCellMar>
          <w:top w:w="0" w:type="dxa"/>
          <w:left w:w="0" w:type="dxa"/>
          <w:bottom w:w="0" w:type="dxa"/>
          <w:right w:w="0" w:type="dxa"/>
        </w:tblCellMar>
      </w:tblPr>
      <w:tblGrid>
        <w:gridCol w:w="8322"/>
      </w:tblGrid>
      <w:tr w14:paraId="4B844F4A">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PrEx>
        <w:trPr>
          <w:tblHeader/>
        </w:trPr>
        <w:tc>
          <w:tcPr>
            <w:tcW w:w="500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9C76750">
            <w:pPr>
              <w:widowControl/>
              <w:jc w:val="left"/>
              <w:rPr>
                <w:rFonts w:ascii="宋体" w:hAnsi="宋体" w:eastAsia="宋体" w:cs="宋体"/>
                <w:b/>
                <w:bCs/>
                <w:kern w:val="0"/>
                <w:sz w:val="24"/>
                <w:szCs w:val="24"/>
              </w:rPr>
            </w:pPr>
            <w:r>
              <w:rPr>
                <w:rFonts w:ascii="宋体" w:hAnsi="宋体" w:eastAsia="宋体" w:cs="宋体"/>
                <w:b/>
                <w:bCs/>
                <w:kern w:val="0"/>
                <w:sz w:val="24"/>
                <w:szCs w:val="24"/>
              </w:rPr>
              <w:t>明细</w:t>
            </w:r>
          </w:p>
        </w:tc>
      </w:tr>
      <w:tr w14:paraId="775695C4">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100B2953">
            <w:pPr>
              <w:widowControl/>
              <w:jc w:val="left"/>
              <w:rPr>
                <w:rFonts w:ascii="宋体" w:hAnsi="宋体" w:eastAsia="宋体" w:cs="宋体"/>
                <w:kern w:val="0"/>
                <w:sz w:val="24"/>
                <w:szCs w:val="24"/>
              </w:rPr>
            </w:pPr>
            <w:r>
              <w:rPr>
                <w:rFonts w:ascii="宋体" w:hAnsi="宋体" w:eastAsia="宋体" w:cs="宋体"/>
                <w:kern w:val="0"/>
                <w:sz w:val="24"/>
                <w:szCs w:val="24"/>
              </w:rPr>
              <w:t>违反招标文件中载明“投标无效”条款的规定；</w:t>
            </w:r>
          </w:p>
        </w:tc>
      </w:tr>
      <w:tr w14:paraId="10695D73">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521A4C3B">
            <w:pPr>
              <w:widowControl/>
              <w:jc w:val="left"/>
              <w:rPr>
                <w:rFonts w:ascii="宋体" w:hAnsi="宋体" w:eastAsia="宋体" w:cs="宋体"/>
                <w:kern w:val="0"/>
                <w:sz w:val="24"/>
                <w:szCs w:val="24"/>
              </w:rPr>
            </w:pPr>
            <w:r>
              <w:rPr>
                <w:rFonts w:ascii="宋体" w:hAnsi="宋体" w:eastAsia="宋体" w:cs="宋体"/>
                <w:kern w:val="0"/>
                <w:sz w:val="24"/>
                <w:szCs w:val="24"/>
              </w:rPr>
              <w:t>属于招标文件第三章第10.12条规定的投标无效情形；</w:t>
            </w:r>
          </w:p>
        </w:tc>
      </w:tr>
      <w:tr w14:paraId="17A4F2E6">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63E2FF08">
            <w:pPr>
              <w:widowControl/>
              <w:jc w:val="left"/>
              <w:rPr>
                <w:rFonts w:ascii="宋体" w:hAnsi="宋体" w:eastAsia="宋体" w:cs="宋体"/>
                <w:kern w:val="0"/>
                <w:sz w:val="24"/>
                <w:szCs w:val="24"/>
              </w:rPr>
            </w:pPr>
            <w:r>
              <w:rPr>
                <w:rFonts w:ascii="宋体" w:hAnsi="宋体" w:eastAsia="宋体" w:cs="宋体"/>
                <w:kern w:val="0"/>
                <w:sz w:val="24"/>
                <w:szCs w:val="24"/>
              </w:rPr>
              <w:t>投标文件对招标文件实质性要求的响应存在重大偏离或保留。</w:t>
            </w:r>
          </w:p>
        </w:tc>
      </w:tr>
    </w:tbl>
    <w:p w14:paraId="2C20D0BB">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②本项目规定的其他情形：</w:t>
      </w:r>
      <w:r>
        <w:rPr>
          <w:rFonts w:hint="eastAsia" w:ascii="宋体" w:hAnsi="宋体" w:eastAsia="宋体" w:cs="宋体"/>
          <w:kern w:val="0"/>
          <w:sz w:val="24"/>
          <w:szCs w:val="24"/>
        </w:rPr>
        <w:br w:type="textWrapping"/>
      </w:r>
      <w:r>
        <w:rPr>
          <w:rFonts w:hint="eastAsia" w:ascii="宋体" w:hAnsi="宋体" w:eastAsia="宋体" w:cs="宋体"/>
          <w:kern w:val="0"/>
          <w:sz w:val="24"/>
          <w:szCs w:val="24"/>
        </w:rPr>
        <w:t>包：1</w:t>
      </w:r>
      <w:r>
        <w:rPr>
          <w:rFonts w:hint="eastAsia" w:ascii="宋体" w:hAnsi="宋体" w:eastAsia="宋体" w:cs="宋体"/>
          <w:kern w:val="0"/>
          <w:sz w:val="24"/>
          <w:szCs w:val="24"/>
        </w:rPr>
        <w:br w:type="textWrapping"/>
      </w:r>
      <w:r>
        <w:rPr>
          <w:rFonts w:hint="eastAsia" w:ascii="宋体" w:hAnsi="宋体" w:eastAsia="宋体" w:cs="宋体"/>
          <w:kern w:val="0"/>
          <w:sz w:val="24"/>
          <w:szCs w:val="24"/>
        </w:rPr>
        <w:t>包一般情形</w:t>
      </w:r>
      <w:r>
        <w:rPr>
          <w:rFonts w:ascii="宋体" w:hAnsi="宋体" w:eastAsia="宋体" w:cs="宋体"/>
          <w:kern w:val="0"/>
          <w:sz w:val="24"/>
          <w:szCs w:val="24"/>
        </w:rPr>
        <w:br w:type="textWrapping"/>
      </w:r>
      <w:r>
        <w:rPr>
          <w:rFonts w:ascii="宋体" w:hAnsi="宋体" w:eastAsia="宋体" w:cs="宋体"/>
          <w:b/>
          <w:bCs/>
          <w:kern w:val="0"/>
          <w:sz w:val="24"/>
          <w:szCs w:val="24"/>
        </w:rPr>
        <w:t>         无</w:t>
      </w:r>
    </w:p>
    <w:p w14:paraId="10177928">
      <w:pPr>
        <w:widowControl/>
        <w:jc w:val="left"/>
        <w:rPr>
          <w:rFonts w:ascii="宋体" w:hAnsi="宋体" w:eastAsia="宋体" w:cs="宋体"/>
          <w:kern w:val="0"/>
          <w:sz w:val="24"/>
          <w:szCs w:val="24"/>
        </w:rPr>
      </w:pPr>
      <w:r>
        <w:rPr>
          <w:rFonts w:ascii="宋体" w:hAnsi="宋体" w:eastAsia="宋体" w:cs="宋体"/>
          <w:kern w:val="0"/>
          <w:sz w:val="24"/>
          <w:szCs w:val="24"/>
        </w:rPr>
        <w:br w:type="textWrapping"/>
      </w:r>
      <w:r>
        <w:rPr>
          <w:rFonts w:ascii="宋体" w:hAnsi="宋体" w:eastAsia="宋体" w:cs="宋体"/>
          <w:kern w:val="0"/>
          <w:sz w:val="24"/>
          <w:szCs w:val="24"/>
        </w:rPr>
        <w:t>技术符合性</w:t>
      </w:r>
    </w:p>
    <w:tbl>
      <w:tblPr>
        <w:tblStyle w:val="9"/>
        <w:tblW w:w="5000" w:type="pct"/>
        <w:tblInd w:w="0" w:type="dxa"/>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autofit"/>
        <w:tblCellMar>
          <w:top w:w="0" w:type="dxa"/>
          <w:left w:w="0" w:type="dxa"/>
          <w:bottom w:w="0" w:type="dxa"/>
          <w:right w:w="0" w:type="dxa"/>
        </w:tblCellMar>
      </w:tblPr>
      <w:tblGrid>
        <w:gridCol w:w="8322"/>
      </w:tblGrid>
      <w:tr w14:paraId="7609E7D7">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rPr>
          <w:tblHeader/>
        </w:trPr>
        <w:tc>
          <w:tcPr>
            <w:tcW w:w="500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FED4D6D">
            <w:pPr>
              <w:widowControl/>
              <w:jc w:val="left"/>
              <w:rPr>
                <w:rFonts w:ascii="宋体" w:hAnsi="宋体" w:eastAsia="宋体" w:cs="宋体"/>
                <w:b/>
                <w:bCs/>
                <w:kern w:val="0"/>
                <w:sz w:val="24"/>
                <w:szCs w:val="24"/>
              </w:rPr>
            </w:pPr>
            <w:r>
              <w:rPr>
                <w:rFonts w:ascii="宋体" w:hAnsi="宋体" w:eastAsia="宋体" w:cs="宋体"/>
                <w:b/>
                <w:bCs/>
                <w:kern w:val="0"/>
                <w:sz w:val="24"/>
                <w:szCs w:val="24"/>
              </w:rPr>
              <w:t>明细</w:t>
            </w:r>
          </w:p>
        </w:tc>
      </w:tr>
      <w:tr w14:paraId="3D724CB9">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2C89DF57">
            <w:pPr>
              <w:widowControl/>
              <w:jc w:val="left"/>
              <w:rPr>
                <w:rFonts w:ascii="宋体" w:hAnsi="宋体" w:eastAsia="宋体" w:cs="宋体"/>
                <w:kern w:val="0"/>
                <w:sz w:val="24"/>
                <w:szCs w:val="24"/>
              </w:rPr>
            </w:pPr>
            <w:r>
              <w:rPr>
                <w:rFonts w:ascii="宋体" w:hAnsi="宋体" w:eastAsia="宋体" w:cs="宋体"/>
                <w:kern w:val="0"/>
                <w:sz w:val="24"/>
                <w:szCs w:val="24"/>
              </w:rPr>
              <w:t>若投标人的技术部分实际得分少于招标文件设定的技术部分总分50%，即视为技术部分未实质性响应招标文件要求，按无效投标处理。</w:t>
            </w:r>
          </w:p>
        </w:tc>
      </w:tr>
      <w:tr w14:paraId="78756686">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4CB5B0AC">
            <w:pPr>
              <w:widowControl/>
              <w:jc w:val="left"/>
              <w:rPr>
                <w:rFonts w:ascii="宋体" w:hAnsi="宋体" w:eastAsia="宋体" w:cs="宋体"/>
                <w:kern w:val="0"/>
                <w:sz w:val="24"/>
                <w:szCs w:val="24"/>
              </w:rPr>
            </w:pPr>
            <w:r>
              <w:rPr>
                <w:rFonts w:ascii="宋体" w:hAnsi="宋体" w:eastAsia="宋体" w:cs="宋体"/>
                <w:kern w:val="0"/>
                <w:sz w:val="24"/>
                <w:szCs w:val="24"/>
              </w:rPr>
              <w:t>投标人的技术部分中不得出现报价部分的全部或部分的投标报价信息（或组成资料），否则符合性审查不合格。</w:t>
            </w:r>
          </w:p>
        </w:tc>
      </w:tr>
    </w:tbl>
    <w:p w14:paraId="053F4A3F">
      <w:pPr>
        <w:widowControl/>
        <w:jc w:val="left"/>
        <w:rPr>
          <w:rFonts w:ascii="宋体" w:hAnsi="宋体" w:eastAsia="宋体" w:cs="宋体"/>
          <w:kern w:val="0"/>
          <w:sz w:val="24"/>
          <w:szCs w:val="24"/>
        </w:rPr>
      </w:pPr>
      <w:r>
        <w:rPr>
          <w:rFonts w:ascii="宋体" w:hAnsi="宋体" w:eastAsia="宋体" w:cs="宋体"/>
          <w:kern w:val="0"/>
          <w:sz w:val="24"/>
          <w:szCs w:val="24"/>
        </w:rPr>
        <w:br w:type="textWrapping"/>
      </w:r>
      <w:r>
        <w:rPr>
          <w:rFonts w:ascii="宋体" w:hAnsi="宋体" w:eastAsia="宋体" w:cs="宋体"/>
          <w:kern w:val="0"/>
          <w:sz w:val="24"/>
          <w:szCs w:val="24"/>
        </w:rPr>
        <w:t>商务符合性</w:t>
      </w:r>
    </w:p>
    <w:tbl>
      <w:tblPr>
        <w:tblStyle w:val="9"/>
        <w:tblW w:w="5000" w:type="pct"/>
        <w:tblInd w:w="0" w:type="dxa"/>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autofit"/>
        <w:tblCellMar>
          <w:top w:w="0" w:type="dxa"/>
          <w:left w:w="0" w:type="dxa"/>
          <w:bottom w:w="0" w:type="dxa"/>
          <w:right w:w="0" w:type="dxa"/>
        </w:tblCellMar>
      </w:tblPr>
      <w:tblGrid>
        <w:gridCol w:w="8322"/>
      </w:tblGrid>
      <w:tr w14:paraId="2EAB2F8C">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rPr>
          <w:tblHeader/>
        </w:trPr>
        <w:tc>
          <w:tcPr>
            <w:tcW w:w="500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FB9CEC0">
            <w:pPr>
              <w:widowControl/>
              <w:jc w:val="left"/>
              <w:rPr>
                <w:rFonts w:ascii="宋体" w:hAnsi="宋体" w:eastAsia="宋体" w:cs="宋体"/>
                <w:b/>
                <w:bCs/>
                <w:kern w:val="0"/>
                <w:sz w:val="24"/>
                <w:szCs w:val="24"/>
              </w:rPr>
            </w:pPr>
            <w:r>
              <w:rPr>
                <w:rFonts w:ascii="宋体" w:hAnsi="宋体" w:eastAsia="宋体" w:cs="宋体"/>
                <w:b/>
                <w:bCs/>
                <w:kern w:val="0"/>
                <w:sz w:val="24"/>
                <w:szCs w:val="24"/>
              </w:rPr>
              <w:t>明细</w:t>
            </w:r>
          </w:p>
        </w:tc>
      </w:tr>
      <w:tr w14:paraId="303AA504">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1BD37014">
            <w:pPr>
              <w:widowControl/>
              <w:jc w:val="left"/>
              <w:rPr>
                <w:rFonts w:ascii="宋体" w:hAnsi="宋体" w:eastAsia="宋体" w:cs="宋体"/>
                <w:kern w:val="0"/>
                <w:sz w:val="24"/>
                <w:szCs w:val="24"/>
              </w:rPr>
            </w:pPr>
            <w:r>
              <w:rPr>
                <w:rFonts w:ascii="宋体" w:hAnsi="宋体" w:eastAsia="宋体" w:cs="宋体"/>
                <w:kern w:val="0"/>
                <w:sz w:val="24"/>
                <w:szCs w:val="24"/>
              </w:rPr>
              <w:t>投标人的商务部分中不得出现报价部分的全部或部分的投标报价信息（或组成资料），否则符合性审查不合格。</w:t>
            </w:r>
          </w:p>
        </w:tc>
      </w:tr>
      <w:tr w14:paraId="7453E754">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0CF36749">
            <w:pPr>
              <w:widowControl/>
              <w:jc w:val="left"/>
              <w:rPr>
                <w:rFonts w:ascii="宋体" w:hAnsi="宋体" w:eastAsia="宋体" w:cs="宋体"/>
                <w:kern w:val="0"/>
                <w:sz w:val="24"/>
                <w:szCs w:val="24"/>
              </w:rPr>
            </w:pPr>
            <w:r>
              <w:rPr>
                <w:rFonts w:ascii="宋体" w:hAnsi="宋体" w:eastAsia="宋体" w:cs="宋体"/>
                <w:kern w:val="0"/>
                <w:sz w:val="24"/>
                <w:szCs w:val="24"/>
              </w:rPr>
              <w:t>交付时间、交付条件、支付方式不满足招标文件要求的。</w:t>
            </w:r>
          </w:p>
        </w:tc>
      </w:tr>
    </w:tbl>
    <w:p w14:paraId="0BFAD14F">
      <w:pPr>
        <w:widowControl/>
        <w:jc w:val="left"/>
        <w:rPr>
          <w:rFonts w:ascii="宋体" w:hAnsi="宋体" w:eastAsia="宋体" w:cs="宋体"/>
          <w:kern w:val="0"/>
          <w:sz w:val="24"/>
          <w:szCs w:val="24"/>
        </w:rPr>
      </w:pPr>
      <w:r>
        <w:rPr>
          <w:rFonts w:ascii="宋体" w:hAnsi="宋体" w:eastAsia="宋体" w:cs="宋体"/>
          <w:kern w:val="0"/>
          <w:sz w:val="24"/>
          <w:szCs w:val="24"/>
        </w:rPr>
        <w:br w:type="textWrapping"/>
      </w:r>
      <w:r>
        <w:rPr>
          <w:rFonts w:ascii="宋体" w:hAnsi="宋体" w:eastAsia="宋体" w:cs="宋体"/>
          <w:kern w:val="0"/>
          <w:sz w:val="24"/>
          <w:szCs w:val="24"/>
        </w:rPr>
        <w:t>附加符合性</w:t>
      </w:r>
      <w:r>
        <w:rPr>
          <w:rFonts w:ascii="宋体" w:hAnsi="宋体" w:eastAsia="宋体" w:cs="宋体"/>
          <w:kern w:val="0"/>
          <w:sz w:val="24"/>
          <w:szCs w:val="24"/>
        </w:rPr>
        <w:br w:type="textWrapping"/>
      </w:r>
      <w:r>
        <w:rPr>
          <w:rFonts w:ascii="宋体" w:hAnsi="宋体" w:eastAsia="宋体" w:cs="宋体"/>
          <w:b/>
          <w:bCs/>
          <w:kern w:val="0"/>
          <w:sz w:val="24"/>
          <w:szCs w:val="24"/>
        </w:rPr>
        <w:t>         无</w:t>
      </w:r>
      <w:r>
        <w:rPr>
          <w:rFonts w:ascii="宋体" w:hAnsi="宋体" w:eastAsia="宋体" w:cs="宋体"/>
          <w:kern w:val="0"/>
          <w:sz w:val="24"/>
          <w:szCs w:val="24"/>
        </w:rPr>
        <w:br w:type="textWrapping"/>
      </w:r>
      <w:r>
        <w:rPr>
          <w:rFonts w:ascii="宋体" w:hAnsi="宋体" w:eastAsia="宋体" w:cs="宋体"/>
          <w:kern w:val="0"/>
          <w:sz w:val="24"/>
          <w:szCs w:val="24"/>
        </w:rPr>
        <w:br w:type="textWrapping"/>
      </w:r>
      <w:r>
        <w:rPr>
          <w:rFonts w:ascii="宋体" w:hAnsi="宋体" w:eastAsia="宋体" w:cs="宋体"/>
          <w:kern w:val="0"/>
          <w:sz w:val="24"/>
          <w:szCs w:val="24"/>
        </w:rPr>
        <w:t>价格符合性</w:t>
      </w:r>
    </w:p>
    <w:p w14:paraId="59FE2A1C">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6.3澄清有关问题</w:t>
      </w:r>
    </w:p>
    <w:p w14:paraId="4AFE66BA">
      <w:pPr>
        <w:widowControl/>
        <w:spacing w:before="75" w:after="75"/>
        <w:ind w:firstLine="420"/>
        <w:jc w:val="left"/>
        <w:rPr>
          <w:rFonts w:ascii="宋体" w:hAnsi="宋体" w:eastAsia="宋体" w:cs="宋体"/>
          <w:kern w:val="0"/>
          <w:sz w:val="24"/>
          <w:szCs w:val="24"/>
        </w:rPr>
      </w:pPr>
      <w:r>
        <w:rPr>
          <w:rFonts w:hint="eastAsia" w:ascii="宋体" w:hAnsi="宋体" w:eastAsia="宋体" w:cs="宋体"/>
          <w:kern w:val="0"/>
          <w:sz w:val="24"/>
          <w:szCs w:val="24"/>
        </w:rPr>
        <w:t>（1）对通过符合性审查的投标文件中含义不明确、同类问题表述不一致或有明显文字和计算错误的内容，评标委员会将以书面形式要求投标人作出必要的澄清、说明或补正。</w:t>
      </w:r>
    </w:p>
    <w:p w14:paraId="1E232365">
      <w:pPr>
        <w:widowControl/>
        <w:spacing w:before="75" w:after="75"/>
        <w:ind w:firstLine="420"/>
        <w:jc w:val="left"/>
        <w:rPr>
          <w:rFonts w:ascii="宋体" w:hAnsi="宋体" w:eastAsia="宋体" w:cs="宋体"/>
          <w:kern w:val="0"/>
          <w:sz w:val="24"/>
          <w:szCs w:val="24"/>
        </w:rPr>
      </w:pPr>
      <w:r>
        <w:rPr>
          <w:rFonts w:hint="eastAsia" w:ascii="宋体" w:hAnsi="宋体" w:eastAsia="宋体" w:cs="宋体"/>
          <w:kern w:val="0"/>
          <w:sz w:val="24"/>
          <w:szCs w:val="24"/>
        </w:rPr>
        <w:t>（2）投标人的澄清、说明或补正应由投标人代表在评标委员会规定的时间内（一般在半个小时左右，具体要求将根据实际情况在澄清通知中约定）以书面形式向评标委员会提交，前述澄清、说明或补正不得超出投标文件的范围或改变投标文件的实质性内容。若投标人未按照前述规定向评标委员会提交书面澄清、说明或补正，则评标委员会将按照不利于投标人的内容进行认定。</w:t>
      </w:r>
    </w:p>
    <w:p w14:paraId="3AFD1AA1">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（3）投标文件报价出现前后不一致的，除招标文件另有规定外，按照下列规定修正：</w:t>
      </w:r>
    </w:p>
    <w:p w14:paraId="330E9F57">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①开标一览表内容与投标文件中相应内容不一致的，以开标一览表为准；</w:t>
      </w:r>
    </w:p>
    <w:p w14:paraId="492318B4">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②大写金额和小写金额不一致的，以大写金额为准；</w:t>
      </w:r>
    </w:p>
    <w:p w14:paraId="616E7649">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③单价金额小数点或百分比有明显错位的，以开标一览表的总价为准，并修改单价；</w:t>
      </w:r>
    </w:p>
    <w:p w14:paraId="77765427">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④总价金额与按照单价汇总金额不一致的，以单价金额计算结果为准。</w:t>
      </w:r>
    </w:p>
    <w:p w14:paraId="32E007CF">
      <w:pPr>
        <w:widowControl/>
        <w:spacing w:before="75" w:after="75"/>
        <w:ind w:firstLine="480"/>
        <w:jc w:val="left"/>
        <w:rPr>
          <w:rFonts w:ascii="宋体" w:hAnsi="宋体" w:eastAsia="宋体" w:cs="宋体"/>
          <w:kern w:val="0"/>
          <w:sz w:val="24"/>
          <w:szCs w:val="24"/>
        </w:rPr>
      </w:pPr>
      <w:r>
        <w:rPr>
          <w:rFonts w:hint="eastAsia" w:ascii="宋体" w:hAnsi="宋体" w:eastAsia="宋体" w:cs="宋体"/>
          <w:b/>
          <w:bCs/>
          <w:kern w:val="0"/>
          <w:sz w:val="24"/>
          <w:szCs w:val="24"/>
        </w:rPr>
        <w:t>※同时出现两种以上不一致的，按照前款规定的顺序修正。修正后的报价应按照本章第</w:t>
      </w:r>
      <w:r>
        <w:rPr>
          <w:rFonts w:ascii="Calibri" w:hAnsi="Calibri" w:eastAsia="宋体" w:cs="Calibri"/>
          <w:b/>
          <w:bCs/>
          <w:kern w:val="0"/>
          <w:sz w:val="24"/>
          <w:szCs w:val="24"/>
        </w:rPr>
        <w:t>6.3</w:t>
      </w:r>
      <w:r>
        <w:rPr>
          <w:rFonts w:hint="eastAsia" w:ascii="宋体" w:hAnsi="宋体" w:eastAsia="宋体" w:cs="宋体"/>
          <w:b/>
          <w:bCs/>
          <w:kern w:val="0"/>
          <w:sz w:val="24"/>
          <w:szCs w:val="24"/>
        </w:rPr>
        <w:t>条第（</w:t>
      </w:r>
      <w:r>
        <w:rPr>
          <w:rFonts w:ascii="Calibri" w:hAnsi="Calibri" w:eastAsia="宋体" w:cs="Calibri"/>
          <w:b/>
          <w:bCs/>
          <w:kern w:val="0"/>
          <w:sz w:val="24"/>
          <w:szCs w:val="24"/>
        </w:rPr>
        <w:t>1</w:t>
      </w:r>
      <w:r>
        <w:rPr>
          <w:rFonts w:hint="eastAsia" w:ascii="宋体" w:hAnsi="宋体" w:eastAsia="宋体" w:cs="宋体"/>
          <w:b/>
          <w:bCs/>
          <w:kern w:val="0"/>
          <w:sz w:val="24"/>
          <w:szCs w:val="24"/>
        </w:rPr>
        <w:t>）、（</w:t>
      </w:r>
      <w:r>
        <w:rPr>
          <w:rFonts w:ascii="Calibri" w:hAnsi="Calibri" w:eastAsia="宋体" w:cs="Calibri"/>
          <w:b/>
          <w:bCs/>
          <w:kern w:val="0"/>
          <w:sz w:val="24"/>
          <w:szCs w:val="24"/>
        </w:rPr>
        <w:t>2</w:t>
      </w:r>
      <w:r>
        <w:rPr>
          <w:rFonts w:hint="eastAsia" w:ascii="宋体" w:hAnsi="宋体" w:eastAsia="宋体" w:cs="宋体"/>
          <w:b/>
          <w:bCs/>
          <w:kern w:val="0"/>
          <w:sz w:val="24"/>
          <w:szCs w:val="24"/>
        </w:rPr>
        <w:t>）款规定经投标人确认后产生约束力，投标人不确认的，其投标无效。</w:t>
      </w:r>
    </w:p>
    <w:p w14:paraId="5FFF2569">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（4）关于细微偏差</w:t>
      </w:r>
    </w:p>
    <w:p w14:paraId="03DA47E5">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①细微偏差指投标文件实质性响应招标文件要求，但在个别地方存在漏项或提供了不完整的技术信息和数据等情况，并且补正这些遗漏或不完整不会对其他投标人造成不公平的结果。细微偏差不影响投标文件的有效性。</w:t>
      </w:r>
    </w:p>
    <w:p w14:paraId="6F6179D7">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②评标委员会将以书面形式要求存在细微偏差的投标人在评标委员会规定的时间内予以补正。若无法补正，则评标委员会将按照不利于投标人的内容进行认定。</w:t>
      </w:r>
    </w:p>
    <w:p w14:paraId="00FBC707">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（5）关于投标描述（即投标文件中描述的内容）</w:t>
      </w:r>
    </w:p>
    <w:p w14:paraId="3041FDAE">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①投标描述前后不一致且不涉及证明材料的：按照本章第</w:t>
      </w:r>
      <w:r>
        <w:rPr>
          <w:rFonts w:ascii="Calibri" w:hAnsi="Calibri" w:eastAsia="宋体" w:cs="Calibri"/>
          <w:kern w:val="0"/>
          <w:sz w:val="24"/>
          <w:szCs w:val="24"/>
        </w:rPr>
        <w:t>6.3</w:t>
      </w:r>
      <w:r>
        <w:rPr>
          <w:rFonts w:hint="eastAsia" w:ascii="宋体" w:hAnsi="宋体" w:eastAsia="宋体" w:cs="宋体"/>
          <w:kern w:val="0"/>
          <w:sz w:val="24"/>
          <w:szCs w:val="24"/>
        </w:rPr>
        <w:t>条第（</w:t>
      </w:r>
      <w:r>
        <w:rPr>
          <w:rFonts w:ascii="Calibri" w:hAnsi="Calibri" w:eastAsia="宋体" w:cs="Calibri"/>
          <w:kern w:val="0"/>
          <w:sz w:val="24"/>
          <w:szCs w:val="24"/>
        </w:rPr>
        <w:t>1</w:t>
      </w:r>
      <w:r>
        <w:rPr>
          <w:rFonts w:hint="eastAsia" w:ascii="宋体" w:hAnsi="宋体" w:eastAsia="宋体" w:cs="宋体"/>
          <w:kern w:val="0"/>
          <w:sz w:val="24"/>
          <w:szCs w:val="24"/>
        </w:rPr>
        <w:t>）、（</w:t>
      </w:r>
      <w:r>
        <w:rPr>
          <w:rFonts w:ascii="Calibri" w:hAnsi="Calibri" w:eastAsia="宋体" w:cs="Calibri"/>
          <w:kern w:val="0"/>
          <w:sz w:val="24"/>
          <w:szCs w:val="24"/>
        </w:rPr>
        <w:t>2</w:t>
      </w:r>
      <w:r>
        <w:rPr>
          <w:rFonts w:hint="eastAsia" w:ascii="宋体" w:hAnsi="宋体" w:eastAsia="宋体" w:cs="宋体"/>
          <w:kern w:val="0"/>
          <w:sz w:val="24"/>
          <w:szCs w:val="24"/>
        </w:rPr>
        <w:t>）款规定执行。</w:t>
      </w:r>
    </w:p>
    <w:p w14:paraId="2191CED0">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②投标描述与证明材料不一致或多份证明材料之间不一致的：</w:t>
      </w:r>
    </w:p>
    <w:p w14:paraId="09CE5E51">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a.评标委员会将要求投标人进行书面澄清，并按照不利于投标人的内容进行评标。</w:t>
      </w:r>
    </w:p>
    <w:p w14:paraId="4859A2E6">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3F969BDC">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211ED301">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6.4比较与评价</w:t>
      </w:r>
    </w:p>
    <w:p w14:paraId="4467DB9A">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（1）按照本章第</w:t>
      </w:r>
      <w:r>
        <w:rPr>
          <w:rFonts w:ascii="Calibri" w:hAnsi="Calibri" w:eastAsia="宋体" w:cs="Calibri"/>
          <w:kern w:val="0"/>
          <w:sz w:val="24"/>
          <w:szCs w:val="24"/>
        </w:rPr>
        <w:t>7</w:t>
      </w:r>
      <w:r>
        <w:rPr>
          <w:rFonts w:hint="eastAsia" w:ascii="宋体" w:hAnsi="宋体" w:eastAsia="宋体" w:cs="宋体"/>
          <w:kern w:val="0"/>
          <w:sz w:val="24"/>
          <w:szCs w:val="24"/>
        </w:rPr>
        <w:t>条载明的评标方法和标准，对符合性审查合格的投标文件进行比较与评价。</w:t>
      </w:r>
    </w:p>
    <w:p w14:paraId="4E5F908D">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（2）关于相同品牌产品</w:t>
      </w:r>
      <w:r>
        <w:rPr>
          <w:rFonts w:hint="eastAsia" w:ascii="宋体" w:hAnsi="宋体" w:eastAsia="宋体" w:cs="宋体"/>
          <w:b/>
          <w:bCs/>
          <w:kern w:val="0"/>
          <w:sz w:val="24"/>
          <w:szCs w:val="24"/>
        </w:rPr>
        <w:t>（政府采购服务类项目不适用本条款规定）</w:t>
      </w:r>
    </w:p>
    <w:p w14:paraId="37B69E23">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0841000F">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a.招标文件规定的方式：</w:t>
      </w:r>
      <w:r>
        <w:rPr>
          <w:rFonts w:ascii="宋体" w:hAnsi="宋体" w:eastAsia="宋体" w:cs="宋体"/>
          <w:kern w:val="0"/>
          <w:sz w:val="24"/>
          <w:szCs w:val="24"/>
          <w:u w:val="single"/>
        </w:rPr>
        <w:t>无。</w:t>
      </w:r>
      <w:r>
        <w:rPr>
          <w:rFonts w:hint="eastAsia" w:ascii="宋体" w:hAnsi="宋体" w:eastAsia="宋体" w:cs="宋体"/>
          <w:kern w:val="0"/>
          <w:sz w:val="24"/>
          <w:szCs w:val="24"/>
        </w:rPr>
        <w:t>。</w:t>
      </w:r>
    </w:p>
    <w:p w14:paraId="7CC1DDB1">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b.招标文件未规定的，采取随机抽取方式确定，其他</w:t>
      </w:r>
      <w:r>
        <w:rPr>
          <w:rFonts w:hint="eastAsia" w:ascii="宋体" w:hAnsi="宋体" w:eastAsia="宋体" w:cs="宋体"/>
          <w:b/>
          <w:bCs/>
          <w:kern w:val="0"/>
          <w:sz w:val="24"/>
          <w:szCs w:val="24"/>
        </w:rPr>
        <w:t>投标无效。</w:t>
      </w:r>
    </w:p>
    <w:p w14:paraId="4692E21E">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51D700C1">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a.招标文件规定的方式：</w:t>
      </w:r>
      <w:r>
        <w:rPr>
          <w:rFonts w:ascii="宋体" w:hAnsi="宋体" w:eastAsia="宋体" w:cs="宋体"/>
          <w:kern w:val="0"/>
          <w:sz w:val="24"/>
          <w:szCs w:val="24"/>
          <w:u w:val="single"/>
        </w:rPr>
        <w:t>无。</w:t>
      </w:r>
      <w:r>
        <w:rPr>
          <w:rFonts w:hint="eastAsia" w:ascii="宋体" w:hAnsi="宋体" w:eastAsia="宋体" w:cs="宋体"/>
          <w:kern w:val="0"/>
          <w:sz w:val="24"/>
          <w:szCs w:val="24"/>
        </w:rPr>
        <w:t>。</w:t>
      </w:r>
    </w:p>
    <w:p w14:paraId="733EE7B4">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b.招标文件未规定的，采取随机抽取方式确定，其他同品牌投标人不作为中标候选人。</w:t>
      </w:r>
    </w:p>
    <w:p w14:paraId="62424B65">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③非单一产品采购项目，多家投标人提供的核心产品品牌相同的，按照本章第</w:t>
      </w:r>
      <w:r>
        <w:rPr>
          <w:rFonts w:ascii="Calibri" w:hAnsi="Calibri" w:eastAsia="宋体" w:cs="Calibri"/>
          <w:kern w:val="0"/>
          <w:sz w:val="24"/>
          <w:szCs w:val="24"/>
        </w:rPr>
        <w:t>6.4</w:t>
      </w:r>
      <w:r>
        <w:rPr>
          <w:rFonts w:hint="eastAsia" w:ascii="宋体" w:hAnsi="宋体" w:eastAsia="宋体" w:cs="宋体"/>
          <w:kern w:val="0"/>
          <w:sz w:val="24"/>
          <w:szCs w:val="24"/>
        </w:rPr>
        <w:t>条第（</w:t>
      </w:r>
      <w:r>
        <w:rPr>
          <w:rFonts w:ascii="Calibri" w:hAnsi="Calibri" w:eastAsia="宋体" w:cs="Calibri"/>
          <w:kern w:val="0"/>
          <w:sz w:val="24"/>
          <w:szCs w:val="24"/>
        </w:rPr>
        <w:t>2</w:t>
      </w:r>
      <w:r>
        <w:rPr>
          <w:rFonts w:hint="eastAsia" w:ascii="宋体" w:hAnsi="宋体" w:eastAsia="宋体" w:cs="宋体"/>
          <w:kern w:val="0"/>
          <w:sz w:val="24"/>
          <w:szCs w:val="24"/>
        </w:rPr>
        <w:t>）款第①、②规定处理。</w:t>
      </w:r>
    </w:p>
    <w:p w14:paraId="22B7BA4E">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（3）漏（缺）项</w:t>
      </w:r>
    </w:p>
    <w:p w14:paraId="64AB95B4">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①招标文件中要求列入报价的费用（含配置、功能），漏（缺）项的报价视为已经包括在投标总价中。</w:t>
      </w:r>
    </w:p>
    <w:p w14:paraId="608ECCB7">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②对多报项及赠送项的价格评标时不予核减，全部进入评标价评议。</w:t>
      </w:r>
    </w:p>
    <w:p w14:paraId="01DB1D3D">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6.5推荐中标候选人：详见本章第</w:t>
      </w:r>
      <w:r>
        <w:rPr>
          <w:rFonts w:ascii="Calibri" w:hAnsi="Calibri" w:eastAsia="宋体" w:cs="Calibri"/>
          <w:kern w:val="0"/>
          <w:sz w:val="24"/>
          <w:szCs w:val="24"/>
        </w:rPr>
        <w:t>7.2</w:t>
      </w:r>
      <w:r>
        <w:rPr>
          <w:rFonts w:hint="eastAsia" w:ascii="宋体" w:hAnsi="宋体" w:eastAsia="宋体" w:cs="宋体"/>
          <w:kern w:val="0"/>
          <w:sz w:val="24"/>
          <w:szCs w:val="24"/>
        </w:rPr>
        <w:t>条规定。</w:t>
      </w:r>
    </w:p>
    <w:p w14:paraId="01C073AB">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6.6编写评标报告</w:t>
      </w:r>
    </w:p>
    <w:p w14:paraId="691C1116">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（1）评标报告由评标委员会负责编写。</w:t>
      </w:r>
    </w:p>
    <w:p w14:paraId="15635CA9">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（2）评标报告应包括下列内容：</w:t>
      </w:r>
    </w:p>
    <w:p w14:paraId="1937559D">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①招标公告刊登的媒体名称、开标日期和地点；</w:t>
      </w:r>
    </w:p>
    <w:p w14:paraId="5416CF4E">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②投标人名单和评标委员会成员名单；</w:t>
      </w:r>
    </w:p>
    <w:p w14:paraId="0084BB84">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③评标方法和标准；</w:t>
      </w:r>
    </w:p>
    <w:p w14:paraId="330C5EAD">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④开标记录和评标情况及说明，包括无效投标人名单及原因；</w:t>
      </w:r>
    </w:p>
    <w:p w14:paraId="4B875341">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⑤评标结果，包括中标候选人名单或确定的中标人；</w:t>
      </w:r>
    </w:p>
    <w:p w14:paraId="421D9ABD">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⑥其他需要说明的情况，包括但不限于：评标过程中投标人的澄清、说明或补正，评委更换等。</w:t>
      </w:r>
    </w:p>
    <w:p w14:paraId="586F3392">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w:t>
      </w:r>
      <w:r>
        <w:rPr>
          <w:rFonts w:hint="eastAsia" w:ascii="宋体" w:hAnsi="宋体" w:eastAsia="宋体" w:cs="宋体"/>
          <w:b/>
          <w:bCs/>
          <w:kern w:val="0"/>
          <w:sz w:val="24"/>
          <w:szCs w:val="24"/>
        </w:rPr>
        <w:t>投标无效</w:t>
      </w:r>
      <w:r>
        <w:rPr>
          <w:rFonts w:hint="eastAsia" w:ascii="宋体" w:hAnsi="宋体" w:eastAsia="宋体" w:cs="宋体"/>
          <w:kern w:val="0"/>
          <w:sz w:val="24"/>
          <w:szCs w:val="24"/>
        </w:rPr>
        <w:t>处理。</w:t>
      </w:r>
    </w:p>
    <w:p w14:paraId="56EDEA0B">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6.8评委对需要共同认定的事项存在争议的，应按照少数服从多数的原则进行认定。</w:t>
      </w:r>
      <w:r>
        <w:rPr>
          <w:rFonts w:hint="eastAsia" w:ascii="宋体" w:hAnsi="宋体" w:eastAsia="宋体" w:cs="宋体"/>
          <w:b/>
          <w:bCs/>
          <w:kern w:val="0"/>
          <w:sz w:val="24"/>
          <w:szCs w:val="24"/>
        </w:rPr>
        <w:t>持不同意见的评委应在评标报告上签署不同意见及理由，否则视为同意评标报告。</w:t>
      </w:r>
    </w:p>
    <w:p w14:paraId="750A70E5">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6.9在评标过程中发现投标人有下列情形之一的，评标委员会应认定其</w:t>
      </w:r>
      <w:r>
        <w:rPr>
          <w:rFonts w:hint="eastAsia" w:ascii="宋体" w:hAnsi="宋体" w:eastAsia="宋体" w:cs="宋体"/>
          <w:b/>
          <w:bCs/>
          <w:kern w:val="0"/>
          <w:sz w:val="24"/>
          <w:szCs w:val="24"/>
        </w:rPr>
        <w:t>投标无效</w:t>
      </w:r>
      <w:r>
        <w:rPr>
          <w:rFonts w:hint="eastAsia" w:ascii="宋体" w:hAnsi="宋体" w:eastAsia="宋体" w:cs="宋体"/>
          <w:kern w:val="0"/>
          <w:sz w:val="24"/>
          <w:szCs w:val="24"/>
        </w:rPr>
        <w:t>，并书面报告本项目监督管理部门：</w:t>
      </w:r>
    </w:p>
    <w:p w14:paraId="430C78C5">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（1）恶意串通（包括但不限于招标文件第三章第</w:t>
      </w:r>
      <w:r>
        <w:rPr>
          <w:rFonts w:ascii="Calibri" w:hAnsi="Calibri" w:eastAsia="宋体" w:cs="Calibri"/>
          <w:kern w:val="0"/>
          <w:sz w:val="24"/>
          <w:szCs w:val="24"/>
        </w:rPr>
        <w:t>9.7</w:t>
      </w:r>
      <w:r>
        <w:rPr>
          <w:rFonts w:hint="eastAsia" w:ascii="宋体" w:hAnsi="宋体" w:eastAsia="宋体" w:cs="宋体"/>
          <w:kern w:val="0"/>
          <w:sz w:val="24"/>
          <w:szCs w:val="24"/>
        </w:rPr>
        <w:t>条规定情形）；</w:t>
      </w:r>
    </w:p>
    <w:p w14:paraId="28B8504C">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（2）妨碍其他投标人的竞争行为；</w:t>
      </w:r>
    </w:p>
    <w:p w14:paraId="27B47B73">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（3）损害采购人或其他投标人的合法权益。</w:t>
      </w:r>
    </w:p>
    <w:p w14:paraId="0E725980">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6.10评标过程中，有下列情形之一的，应予废标：</w:t>
      </w:r>
    </w:p>
    <w:p w14:paraId="06E85F82">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（1）符合性审查合格的投标人不足三家的；</w:t>
      </w:r>
    </w:p>
    <w:p w14:paraId="37DBC0DC">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（2）有关法律、法规和规章规定废标的情形。</w:t>
      </w:r>
    </w:p>
    <w:p w14:paraId="0D8BB877">
      <w:pPr>
        <w:widowControl/>
        <w:spacing w:before="75" w:after="75"/>
        <w:ind w:firstLine="480"/>
        <w:jc w:val="left"/>
        <w:rPr>
          <w:rFonts w:ascii="宋体" w:hAnsi="宋体" w:eastAsia="宋体" w:cs="宋体"/>
          <w:kern w:val="0"/>
          <w:sz w:val="24"/>
          <w:szCs w:val="24"/>
        </w:rPr>
      </w:pPr>
      <w:r>
        <w:rPr>
          <w:rFonts w:hint="eastAsia" w:ascii="宋体" w:hAnsi="宋体" w:eastAsia="宋体" w:cs="宋体"/>
          <w:b/>
          <w:bCs/>
          <w:kern w:val="0"/>
          <w:sz w:val="24"/>
          <w:szCs w:val="24"/>
        </w:rPr>
        <w:t>※若废标，则本次采购活动结束，</w:t>
      </w:r>
      <w:r>
        <w:rPr>
          <w:rFonts w:hint="eastAsia" w:ascii="宋体" w:hAnsi="宋体" w:eastAsia="宋体" w:cs="宋体"/>
          <w:kern w:val="0"/>
          <w:sz w:val="24"/>
          <w:szCs w:val="24"/>
          <w:u w:val="single"/>
        </w:rPr>
        <w:t>福建昇华工程造价咨询有限公司</w:t>
      </w:r>
      <w:r>
        <w:rPr>
          <w:rFonts w:hint="eastAsia" w:ascii="宋体" w:hAnsi="宋体" w:eastAsia="宋体" w:cs="宋体"/>
          <w:b/>
          <w:bCs/>
          <w:kern w:val="0"/>
          <w:sz w:val="24"/>
          <w:szCs w:val="24"/>
        </w:rPr>
        <w:t>将依法组织后续采购活动（包括但不限于：重新招标、采用其他方式采购等）。</w:t>
      </w:r>
    </w:p>
    <w:p w14:paraId="5A36395A">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7、评标方法和标准</w:t>
      </w:r>
    </w:p>
    <w:p w14:paraId="29087EE1">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7.1评标方法：</w:t>
      </w:r>
      <w:r>
        <w:rPr>
          <w:rFonts w:ascii="宋体" w:hAnsi="宋体" w:eastAsia="宋体" w:cs="宋体"/>
          <w:kern w:val="0"/>
          <w:sz w:val="24"/>
          <w:szCs w:val="24"/>
        </w:rPr>
        <w:t> 项目包1采用综合评分法。</w:t>
      </w:r>
    </w:p>
    <w:p w14:paraId="6F0CECD4">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7.2评标标准</w:t>
      </w:r>
    </w:p>
    <w:p w14:paraId="1BEEBD9B">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 </w:t>
      </w:r>
    </w:p>
    <w:p w14:paraId="1788DE5D">
      <w:pPr>
        <w:widowControl/>
        <w:shd w:val="clear" w:color="auto" w:fill="FFFFFF"/>
        <w:spacing w:after="150"/>
        <w:jc w:val="left"/>
        <w:rPr>
          <w:rFonts w:ascii="微软雅黑" w:hAnsi="微软雅黑" w:eastAsia="微软雅黑" w:cs="宋体"/>
          <w:color w:val="393939"/>
          <w:kern w:val="0"/>
          <w:sz w:val="20"/>
          <w:szCs w:val="20"/>
        </w:rPr>
      </w:pPr>
      <w:r>
        <w:rPr>
          <w:rFonts w:hint="eastAsia" w:ascii="宋体" w:hAnsi="宋体" w:eastAsia="宋体" w:cs="宋体"/>
          <w:b/>
          <w:bCs/>
          <w:color w:val="393939"/>
          <w:kern w:val="0"/>
          <w:sz w:val="24"/>
          <w:szCs w:val="24"/>
        </w:rPr>
        <w:t>采购包1采用综合评分法</w:t>
      </w:r>
      <w:r>
        <w:rPr>
          <w:rFonts w:hint="eastAsia" w:ascii="宋体" w:hAnsi="宋体" w:eastAsia="宋体" w:cs="宋体"/>
          <w:color w:val="393939"/>
          <w:kern w:val="0"/>
          <w:sz w:val="24"/>
          <w:szCs w:val="24"/>
        </w:rPr>
        <w:t>：</w:t>
      </w:r>
    </w:p>
    <w:p w14:paraId="24AB862A">
      <w:pPr>
        <w:widowControl/>
        <w:spacing w:after="150"/>
        <w:ind w:firstLine="480"/>
        <w:jc w:val="left"/>
        <w:rPr>
          <w:rFonts w:ascii="宋体" w:hAnsi="宋体" w:eastAsia="宋体" w:cs="宋体"/>
          <w:kern w:val="0"/>
          <w:sz w:val="24"/>
          <w:szCs w:val="24"/>
        </w:rPr>
      </w:pPr>
      <w:r>
        <w:rPr>
          <w:rFonts w:hint="eastAsia" w:ascii="宋体" w:hAnsi="宋体" w:eastAsia="宋体" w:cs="宋体"/>
          <w:kern w:val="0"/>
          <w:sz w:val="24"/>
          <w:szCs w:val="24"/>
        </w:rPr>
        <w:t>（1）投标文件满足招标文件全部实质性要求，且按照评审因素的量化指标评审得分（即评标总得分）最高的投标人为中标候选人。</w:t>
      </w:r>
    </w:p>
    <w:p w14:paraId="717662F3">
      <w:pPr>
        <w:widowControl/>
        <w:spacing w:after="150"/>
        <w:ind w:firstLine="480"/>
        <w:jc w:val="left"/>
        <w:rPr>
          <w:rFonts w:ascii="宋体" w:hAnsi="宋体" w:eastAsia="宋体" w:cs="宋体"/>
          <w:kern w:val="0"/>
          <w:sz w:val="24"/>
          <w:szCs w:val="24"/>
        </w:rPr>
      </w:pPr>
      <w:r>
        <w:rPr>
          <w:rFonts w:hint="eastAsia" w:ascii="宋体" w:hAnsi="宋体" w:eastAsia="宋体" w:cs="宋体"/>
          <w:kern w:val="0"/>
          <w:sz w:val="24"/>
          <w:szCs w:val="24"/>
        </w:rPr>
        <w:t>（2）每个投标人的评标总得分</w:t>
      </w:r>
      <w:r>
        <w:rPr>
          <w:rFonts w:ascii="Calibri" w:hAnsi="Calibri" w:eastAsia="宋体" w:cs="Calibri"/>
          <w:kern w:val="0"/>
          <w:sz w:val="24"/>
          <w:szCs w:val="24"/>
        </w:rPr>
        <w:t>FA</w:t>
      </w:r>
      <w:r>
        <w:rPr>
          <w:rFonts w:hint="eastAsia" w:ascii="宋体" w:hAnsi="宋体" w:eastAsia="宋体" w:cs="宋体"/>
          <w:kern w:val="0"/>
          <w:sz w:val="24"/>
          <w:szCs w:val="24"/>
        </w:rPr>
        <w:t>＝</w:t>
      </w:r>
      <w:r>
        <w:rPr>
          <w:rFonts w:ascii="Calibri" w:hAnsi="Calibri" w:eastAsia="宋体" w:cs="Calibri"/>
          <w:kern w:val="0"/>
          <w:sz w:val="24"/>
          <w:szCs w:val="24"/>
        </w:rPr>
        <w:t>F1</w:t>
      </w:r>
      <w:r>
        <w:rPr>
          <w:rFonts w:hint="eastAsia" w:ascii="宋体" w:hAnsi="宋体" w:eastAsia="宋体" w:cs="宋体"/>
          <w:kern w:val="0"/>
          <w:sz w:val="24"/>
          <w:szCs w:val="24"/>
        </w:rPr>
        <w:t>×</w:t>
      </w:r>
      <w:r>
        <w:rPr>
          <w:rFonts w:ascii="Calibri" w:hAnsi="Calibri" w:eastAsia="宋体" w:cs="Calibri"/>
          <w:kern w:val="0"/>
          <w:sz w:val="24"/>
          <w:szCs w:val="24"/>
        </w:rPr>
        <w:t>A1</w:t>
      </w:r>
      <w:r>
        <w:rPr>
          <w:rFonts w:hint="eastAsia" w:ascii="宋体" w:hAnsi="宋体" w:eastAsia="宋体" w:cs="宋体"/>
          <w:kern w:val="0"/>
          <w:sz w:val="24"/>
          <w:szCs w:val="24"/>
        </w:rPr>
        <w:t>＋</w:t>
      </w:r>
      <w:r>
        <w:rPr>
          <w:rFonts w:ascii="Calibri" w:hAnsi="Calibri" w:eastAsia="宋体" w:cs="Calibri"/>
          <w:kern w:val="0"/>
          <w:sz w:val="24"/>
          <w:szCs w:val="24"/>
        </w:rPr>
        <w:t>F2</w:t>
      </w:r>
      <w:r>
        <w:rPr>
          <w:rFonts w:hint="eastAsia" w:ascii="宋体" w:hAnsi="宋体" w:eastAsia="宋体" w:cs="宋体"/>
          <w:kern w:val="0"/>
          <w:sz w:val="24"/>
          <w:szCs w:val="24"/>
        </w:rPr>
        <w:t>×</w:t>
      </w:r>
      <w:r>
        <w:rPr>
          <w:rFonts w:ascii="Calibri" w:hAnsi="Calibri" w:eastAsia="宋体" w:cs="Calibri"/>
          <w:kern w:val="0"/>
          <w:sz w:val="24"/>
          <w:szCs w:val="24"/>
        </w:rPr>
        <w:t>A2</w:t>
      </w:r>
      <w:r>
        <w:rPr>
          <w:rFonts w:hint="eastAsia" w:ascii="宋体" w:hAnsi="宋体" w:eastAsia="宋体" w:cs="宋体"/>
          <w:kern w:val="0"/>
          <w:sz w:val="24"/>
          <w:szCs w:val="24"/>
        </w:rPr>
        <w:t>＋</w:t>
      </w:r>
      <w:r>
        <w:rPr>
          <w:rFonts w:ascii="Calibri" w:hAnsi="Calibri" w:eastAsia="宋体" w:cs="Calibri"/>
          <w:kern w:val="0"/>
          <w:sz w:val="24"/>
          <w:szCs w:val="24"/>
        </w:rPr>
        <w:t>F3</w:t>
      </w:r>
      <w:r>
        <w:rPr>
          <w:rFonts w:hint="eastAsia" w:ascii="宋体" w:hAnsi="宋体" w:eastAsia="宋体" w:cs="宋体"/>
          <w:kern w:val="0"/>
          <w:sz w:val="24"/>
          <w:szCs w:val="24"/>
        </w:rPr>
        <w:t>×</w:t>
      </w:r>
      <w:r>
        <w:rPr>
          <w:rFonts w:ascii="Calibri" w:hAnsi="Calibri" w:eastAsia="宋体" w:cs="Calibri"/>
          <w:kern w:val="0"/>
          <w:sz w:val="24"/>
          <w:szCs w:val="24"/>
        </w:rPr>
        <w:t>A3</w:t>
      </w:r>
      <w:r>
        <w:rPr>
          <w:rFonts w:hint="eastAsia" w:ascii="宋体" w:hAnsi="宋体" w:eastAsia="宋体" w:cs="宋体"/>
          <w:kern w:val="0"/>
          <w:sz w:val="24"/>
          <w:szCs w:val="24"/>
        </w:rPr>
        <w:t>＋</w:t>
      </w:r>
      <w:r>
        <w:rPr>
          <w:rFonts w:ascii="Calibri" w:hAnsi="Calibri" w:eastAsia="宋体" w:cs="Calibri"/>
          <w:kern w:val="0"/>
          <w:sz w:val="24"/>
          <w:szCs w:val="24"/>
        </w:rPr>
        <w:t>F4</w:t>
      </w:r>
      <w:r>
        <w:rPr>
          <w:rFonts w:hint="eastAsia" w:ascii="宋体" w:hAnsi="宋体" w:eastAsia="宋体" w:cs="宋体"/>
          <w:kern w:val="0"/>
          <w:sz w:val="24"/>
          <w:szCs w:val="24"/>
        </w:rPr>
        <w:t>×</w:t>
      </w:r>
      <w:r>
        <w:rPr>
          <w:rFonts w:ascii="Calibri" w:hAnsi="Calibri" w:eastAsia="宋体" w:cs="Calibri"/>
          <w:kern w:val="0"/>
          <w:sz w:val="24"/>
          <w:szCs w:val="24"/>
        </w:rPr>
        <w:t>A4</w:t>
      </w:r>
      <w:r>
        <w:rPr>
          <w:rFonts w:hint="eastAsia" w:ascii="宋体" w:hAnsi="宋体" w:eastAsia="宋体" w:cs="宋体"/>
          <w:kern w:val="0"/>
          <w:sz w:val="24"/>
          <w:szCs w:val="24"/>
        </w:rPr>
        <w:t>（若有），其中：</w:t>
      </w:r>
      <w:r>
        <w:rPr>
          <w:rFonts w:ascii="Calibri" w:hAnsi="Calibri" w:eastAsia="宋体" w:cs="Calibri"/>
          <w:kern w:val="0"/>
          <w:sz w:val="24"/>
          <w:szCs w:val="24"/>
        </w:rPr>
        <w:t>F1</w:t>
      </w:r>
      <w:r>
        <w:rPr>
          <w:rFonts w:hint="eastAsia" w:ascii="宋体" w:hAnsi="宋体" w:eastAsia="宋体" w:cs="宋体"/>
          <w:kern w:val="0"/>
          <w:sz w:val="24"/>
          <w:szCs w:val="24"/>
        </w:rPr>
        <w:t>指价格项评审因素得分、</w:t>
      </w:r>
      <w:r>
        <w:rPr>
          <w:rFonts w:ascii="Calibri" w:hAnsi="Calibri" w:eastAsia="宋体" w:cs="Calibri"/>
          <w:kern w:val="0"/>
          <w:sz w:val="24"/>
          <w:szCs w:val="24"/>
        </w:rPr>
        <w:t>F2</w:t>
      </w:r>
      <w:r>
        <w:rPr>
          <w:rFonts w:hint="eastAsia" w:ascii="宋体" w:hAnsi="宋体" w:eastAsia="宋体" w:cs="宋体"/>
          <w:kern w:val="0"/>
          <w:sz w:val="24"/>
          <w:szCs w:val="24"/>
        </w:rPr>
        <w:t>指技术项评审因素得分、</w:t>
      </w:r>
      <w:r>
        <w:rPr>
          <w:rFonts w:ascii="Calibri" w:hAnsi="Calibri" w:eastAsia="宋体" w:cs="Calibri"/>
          <w:kern w:val="0"/>
          <w:sz w:val="24"/>
          <w:szCs w:val="24"/>
        </w:rPr>
        <w:t>F3</w:t>
      </w:r>
      <w:r>
        <w:rPr>
          <w:rFonts w:hint="eastAsia" w:ascii="宋体" w:hAnsi="宋体" w:eastAsia="宋体" w:cs="宋体"/>
          <w:kern w:val="0"/>
          <w:sz w:val="24"/>
          <w:szCs w:val="24"/>
        </w:rPr>
        <w:t>指商务项评审因素得分，</w:t>
      </w:r>
      <w:r>
        <w:rPr>
          <w:rFonts w:ascii="Calibri" w:hAnsi="Calibri" w:eastAsia="宋体" w:cs="Calibri"/>
          <w:kern w:val="0"/>
          <w:sz w:val="24"/>
          <w:szCs w:val="24"/>
        </w:rPr>
        <w:t>A1</w:t>
      </w:r>
      <w:r>
        <w:rPr>
          <w:rFonts w:hint="eastAsia" w:ascii="宋体" w:hAnsi="宋体" w:eastAsia="宋体" w:cs="宋体"/>
          <w:kern w:val="0"/>
          <w:sz w:val="24"/>
          <w:szCs w:val="24"/>
        </w:rPr>
        <w:t>指价格项评审因素所占的权重、</w:t>
      </w:r>
      <w:r>
        <w:rPr>
          <w:rFonts w:ascii="Calibri" w:hAnsi="Calibri" w:eastAsia="宋体" w:cs="Calibri"/>
          <w:kern w:val="0"/>
          <w:sz w:val="24"/>
          <w:szCs w:val="24"/>
        </w:rPr>
        <w:t>A2</w:t>
      </w:r>
      <w:r>
        <w:rPr>
          <w:rFonts w:hint="eastAsia" w:ascii="宋体" w:hAnsi="宋体" w:eastAsia="宋体" w:cs="宋体"/>
          <w:kern w:val="0"/>
          <w:sz w:val="24"/>
          <w:szCs w:val="24"/>
        </w:rPr>
        <w:t>指技术项评审因素所占的权重、</w:t>
      </w:r>
      <w:r>
        <w:rPr>
          <w:rFonts w:ascii="Calibri" w:hAnsi="Calibri" w:eastAsia="宋体" w:cs="Calibri"/>
          <w:kern w:val="0"/>
          <w:sz w:val="24"/>
          <w:szCs w:val="24"/>
        </w:rPr>
        <w:t>A3</w:t>
      </w:r>
      <w:r>
        <w:rPr>
          <w:rFonts w:hint="eastAsia" w:ascii="宋体" w:hAnsi="宋体" w:eastAsia="宋体" w:cs="宋体"/>
          <w:kern w:val="0"/>
          <w:sz w:val="24"/>
          <w:szCs w:val="24"/>
        </w:rPr>
        <w:t>指商务项评审因素所占的权重，</w:t>
      </w:r>
      <w:r>
        <w:rPr>
          <w:rFonts w:ascii="Calibri" w:hAnsi="Calibri" w:eastAsia="宋体" w:cs="Calibri"/>
          <w:kern w:val="0"/>
          <w:sz w:val="24"/>
          <w:szCs w:val="24"/>
        </w:rPr>
        <w:t>A1+A2+A3=1</w:t>
      </w:r>
      <w:r>
        <w:rPr>
          <w:rFonts w:hint="eastAsia" w:ascii="宋体" w:hAnsi="宋体" w:eastAsia="宋体" w:cs="宋体"/>
          <w:kern w:val="0"/>
          <w:sz w:val="24"/>
          <w:szCs w:val="24"/>
        </w:rPr>
        <w:t>、</w:t>
      </w:r>
      <w:r>
        <w:rPr>
          <w:rFonts w:ascii="Calibri" w:hAnsi="Calibri" w:eastAsia="宋体" w:cs="Calibri"/>
          <w:kern w:val="0"/>
          <w:sz w:val="24"/>
          <w:szCs w:val="24"/>
        </w:rPr>
        <w:t>F1</w:t>
      </w:r>
      <w:r>
        <w:rPr>
          <w:rFonts w:hint="eastAsia" w:ascii="宋体" w:hAnsi="宋体" w:eastAsia="宋体" w:cs="宋体"/>
          <w:kern w:val="0"/>
          <w:sz w:val="24"/>
          <w:szCs w:val="24"/>
        </w:rPr>
        <w:t>×</w:t>
      </w:r>
      <w:r>
        <w:rPr>
          <w:rFonts w:ascii="Calibri" w:hAnsi="Calibri" w:eastAsia="宋体" w:cs="Calibri"/>
          <w:kern w:val="0"/>
          <w:sz w:val="24"/>
          <w:szCs w:val="24"/>
        </w:rPr>
        <w:t>A1</w:t>
      </w:r>
      <w:r>
        <w:rPr>
          <w:rFonts w:hint="eastAsia" w:ascii="宋体" w:hAnsi="宋体" w:eastAsia="宋体" w:cs="宋体"/>
          <w:kern w:val="0"/>
          <w:sz w:val="24"/>
          <w:szCs w:val="24"/>
        </w:rPr>
        <w:t>＋</w:t>
      </w:r>
      <w:r>
        <w:rPr>
          <w:rFonts w:ascii="Calibri" w:hAnsi="Calibri" w:eastAsia="宋体" w:cs="Calibri"/>
          <w:kern w:val="0"/>
          <w:sz w:val="24"/>
          <w:szCs w:val="24"/>
        </w:rPr>
        <w:t>F2</w:t>
      </w:r>
      <w:r>
        <w:rPr>
          <w:rFonts w:hint="eastAsia" w:ascii="宋体" w:hAnsi="宋体" w:eastAsia="宋体" w:cs="宋体"/>
          <w:kern w:val="0"/>
          <w:sz w:val="24"/>
          <w:szCs w:val="24"/>
        </w:rPr>
        <w:t>×</w:t>
      </w:r>
      <w:r>
        <w:rPr>
          <w:rFonts w:ascii="Calibri" w:hAnsi="Calibri" w:eastAsia="宋体" w:cs="Calibri"/>
          <w:kern w:val="0"/>
          <w:sz w:val="24"/>
          <w:szCs w:val="24"/>
        </w:rPr>
        <w:t>A2</w:t>
      </w:r>
      <w:r>
        <w:rPr>
          <w:rFonts w:hint="eastAsia" w:ascii="宋体" w:hAnsi="宋体" w:eastAsia="宋体" w:cs="宋体"/>
          <w:kern w:val="0"/>
          <w:sz w:val="24"/>
          <w:szCs w:val="24"/>
        </w:rPr>
        <w:t>＋</w:t>
      </w:r>
      <w:r>
        <w:rPr>
          <w:rFonts w:ascii="Calibri" w:hAnsi="Calibri" w:eastAsia="宋体" w:cs="Calibri"/>
          <w:kern w:val="0"/>
          <w:sz w:val="24"/>
          <w:szCs w:val="24"/>
        </w:rPr>
        <w:t>F3</w:t>
      </w:r>
      <w:r>
        <w:rPr>
          <w:rFonts w:hint="eastAsia" w:ascii="宋体" w:hAnsi="宋体" w:eastAsia="宋体" w:cs="宋体"/>
          <w:kern w:val="0"/>
          <w:sz w:val="24"/>
          <w:szCs w:val="24"/>
        </w:rPr>
        <w:t>×</w:t>
      </w:r>
      <w:r>
        <w:rPr>
          <w:rFonts w:ascii="Calibri" w:hAnsi="Calibri" w:eastAsia="宋体" w:cs="Calibri"/>
          <w:kern w:val="0"/>
          <w:sz w:val="24"/>
          <w:szCs w:val="24"/>
        </w:rPr>
        <w:t>A3=100</w:t>
      </w:r>
      <w:r>
        <w:rPr>
          <w:rFonts w:hint="eastAsia" w:ascii="宋体" w:hAnsi="宋体" w:eastAsia="宋体" w:cs="宋体"/>
          <w:kern w:val="0"/>
          <w:sz w:val="24"/>
          <w:szCs w:val="24"/>
        </w:rPr>
        <w:t>分（满分时），</w:t>
      </w:r>
      <w:r>
        <w:rPr>
          <w:rFonts w:ascii="Calibri" w:hAnsi="Calibri" w:eastAsia="宋体" w:cs="Calibri"/>
          <w:kern w:val="0"/>
          <w:sz w:val="24"/>
          <w:szCs w:val="24"/>
        </w:rPr>
        <w:t>F4</w:t>
      </w:r>
      <w:r>
        <w:rPr>
          <w:rFonts w:hint="eastAsia" w:ascii="宋体" w:hAnsi="宋体" w:eastAsia="宋体" w:cs="宋体"/>
          <w:kern w:val="0"/>
          <w:sz w:val="24"/>
          <w:szCs w:val="24"/>
        </w:rPr>
        <w:t>×</w:t>
      </w:r>
      <w:r>
        <w:rPr>
          <w:rFonts w:ascii="Calibri" w:hAnsi="Calibri" w:eastAsia="宋体" w:cs="Calibri"/>
          <w:kern w:val="0"/>
          <w:sz w:val="24"/>
          <w:szCs w:val="24"/>
        </w:rPr>
        <w:t>A4</w:t>
      </w:r>
      <w:r>
        <w:rPr>
          <w:rFonts w:hint="eastAsia" w:ascii="宋体" w:hAnsi="宋体" w:eastAsia="宋体" w:cs="宋体"/>
          <w:kern w:val="0"/>
          <w:sz w:val="24"/>
          <w:szCs w:val="24"/>
        </w:rPr>
        <w:t>为加分项（即优先类节能产品、环境标志产品在采购活动中可享有的加分优惠）。</w:t>
      </w:r>
    </w:p>
    <w:p w14:paraId="78A836E6">
      <w:pPr>
        <w:widowControl/>
        <w:spacing w:after="150"/>
        <w:ind w:firstLine="480"/>
        <w:jc w:val="left"/>
        <w:rPr>
          <w:rFonts w:ascii="宋体" w:hAnsi="宋体" w:eastAsia="宋体" w:cs="宋体"/>
          <w:kern w:val="0"/>
          <w:sz w:val="24"/>
          <w:szCs w:val="24"/>
        </w:rPr>
      </w:pPr>
      <w:r>
        <w:rPr>
          <w:rFonts w:hint="eastAsia" w:ascii="宋体" w:hAnsi="宋体" w:eastAsia="宋体" w:cs="宋体"/>
          <w:kern w:val="0"/>
          <w:sz w:val="24"/>
          <w:szCs w:val="24"/>
        </w:rPr>
        <w:t>（3）各项评审因素的设置如下：</w:t>
      </w:r>
    </w:p>
    <w:p w14:paraId="201FEE6B">
      <w:pPr>
        <w:widowControl/>
        <w:spacing w:after="150"/>
        <w:ind w:firstLine="480"/>
        <w:jc w:val="left"/>
        <w:rPr>
          <w:rFonts w:ascii="宋体" w:hAnsi="宋体" w:eastAsia="宋体" w:cs="宋体"/>
          <w:kern w:val="0"/>
          <w:sz w:val="24"/>
          <w:szCs w:val="24"/>
        </w:rPr>
      </w:pPr>
      <w:r>
        <w:rPr>
          <w:rFonts w:hint="eastAsia" w:ascii="宋体" w:hAnsi="宋体" w:eastAsia="宋体" w:cs="宋体"/>
          <w:kern w:val="0"/>
          <w:sz w:val="24"/>
          <w:szCs w:val="24"/>
        </w:rPr>
        <w:t>①价格项（</w:t>
      </w:r>
      <w:r>
        <w:rPr>
          <w:rFonts w:ascii="Calibri" w:hAnsi="Calibri" w:eastAsia="宋体" w:cs="Calibri"/>
          <w:kern w:val="0"/>
          <w:sz w:val="24"/>
          <w:szCs w:val="24"/>
        </w:rPr>
        <w:t>F1</w:t>
      </w:r>
      <w:r>
        <w:rPr>
          <w:rFonts w:hint="eastAsia" w:ascii="宋体" w:hAnsi="宋体" w:eastAsia="宋体" w:cs="宋体"/>
          <w:kern w:val="0"/>
          <w:sz w:val="24"/>
          <w:szCs w:val="24"/>
        </w:rPr>
        <w:t>×</w:t>
      </w:r>
      <w:r>
        <w:rPr>
          <w:rFonts w:ascii="Calibri" w:hAnsi="Calibri" w:eastAsia="宋体" w:cs="Calibri"/>
          <w:kern w:val="0"/>
          <w:sz w:val="24"/>
          <w:szCs w:val="24"/>
        </w:rPr>
        <w:t>A1</w:t>
      </w:r>
      <w:r>
        <w:rPr>
          <w:rFonts w:hint="eastAsia" w:ascii="宋体" w:hAnsi="宋体" w:eastAsia="宋体" w:cs="宋体"/>
          <w:kern w:val="0"/>
          <w:sz w:val="24"/>
          <w:szCs w:val="24"/>
        </w:rPr>
        <w:t>）满分为</w:t>
      </w:r>
      <w:r>
        <w:rPr>
          <w:rFonts w:hint="eastAsia" w:ascii="宋体" w:hAnsi="宋体" w:eastAsia="宋体" w:cs="宋体"/>
          <w:kern w:val="0"/>
          <w:sz w:val="24"/>
          <w:szCs w:val="24"/>
          <w:u w:val="single"/>
        </w:rPr>
        <w:t>30</w:t>
      </w:r>
      <w:r>
        <w:rPr>
          <w:rFonts w:hint="eastAsia" w:ascii="宋体" w:hAnsi="宋体" w:eastAsia="宋体" w:cs="宋体"/>
          <w:kern w:val="0"/>
          <w:sz w:val="24"/>
          <w:szCs w:val="24"/>
        </w:rPr>
        <w:t>分。</w:t>
      </w:r>
    </w:p>
    <w:p w14:paraId="223FC2FD">
      <w:pPr>
        <w:widowControl/>
        <w:spacing w:after="150"/>
        <w:ind w:firstLine="480"/>
        <w:jc w:val="left"/>
        <w:rPr>
          <w:rFonts w:ascii="宋体" w:hAnsi="宋体" w:eastAsia="宋体" w:cs="宋体"/>
          <w:kern w:val="0"/>
          <w:sz w:val="24"/>
          <w:szCs w:val="24"/>
        </w:rPr>
      </w:pPr>
      <w:r>
        <w:rPr>
          <w:rFonts w:hint="eastAsia" w:ascii="宋体" w:hAnsi="宋体" w:eastAsia="宋体" w:cs="宋体"/>
          <w:kern w:val="0"/>
          <w:sz w:val="24"/>
          <w:szCs w:val="24"/>
        </w:rPr>
        <w:t>a.价格分采用低价优先法计算，即满足招标文件要求且投标价格最低的投标报价为评标基准价，其价格分为满分。其他投标人的价格分统一按照下列公式计算：投标报价得分</w:t>
      </w:r>
      <w:r>
        <w:rPr>
          <w:rFonts w:ascii="Calibri" w:hAnsi="Calibri" w:eastAsia="宋体" w:cs="Calibri"/>
          <w:kern w:val="0"/>
          <w:sz w:val="24"/>
          <w:szCs w:val="24"/>
        </w:rPr>
        <w:t>=</w:t>
      </w:r>
      <w:r>
        <w:rPr>
          <w:rFonts w:hint="eastAsia" w:ascii="宋体" w:hAnsi="宋体" w:eastAsia="宋体" w:cs="宋体"/>
          <w:kern w:val="0"/>
          <w:sz w:val="24"/>
          <w:szCs w:val="24"/>
        </w:rPr>
        <w:t>（评标基准价／投标报价）×</w:t>
      </w:r>
      <w:r>
        <w:rPr>
          <w:rFonts w:ascii="Calibri" w:hAnsi="Calibri" w:eastAsia="宋体" w:cs="Calibri"/>
          <w:kern w:val="0"/>
          <w:sz w:val="24"/>
          <w:szCs w:val="24"/>
        </w:rPr>
        <w:t>100</w:t>
      </w:r>
      <w:r>
        <w:rPr>
          <w:rFonts w:hint="eastAsia" w:ascii="宋体" w:hAnsi="宋体" w:eastAsia="宋体" w:cs="宋体"/>
          <w:kern w:val="0"/>
          <w:sz w:val="24"/>
          <w:szCs w:val="24"/>
        </w:rPr>
        <w:t>。因落实政府采购政策需进行价格扣除的，以扣除后的价格计算评标基准价和投标报价。</w:t>
      </w:r>
    </w:p>
    <w:p w14:paraId="73BDB37C">
      <w:pPr>
        <w:widowControl/>
        <w:spacing w:after="150"/>
        <w:ind w:firstLine="480"/>
        <w:jc w:val="left"/>
        <w:rPr>
          <w:rFonts w:ascii="宋体" w:hAnsi="宋体" w:eastAsia="宋体" w:cs="宋体"/>
          <w:kern w:val="0"/>
          <w:sz w:val="24"/>
          <w:szCs w:val="24"/>
        </w:rPr>
      </w:pPr>
      <w:r>
        <w:rPr>
          <w:rFonts w:ascii="Calibri" w:hAnsi="Calibri" w:eastAsia="宋体" w:cs="Calibri"/>
          <w:kern w:val="0"/>
          <w:sz w:val="24"/>
          <w:szCs w:val="24"/>
        </w:rPr>
        <w:t>b.</w:t>
      </w:r>
      <w:r>
        <w:rPr>
          <w:rFonts w:hint="eastAsia" w:ascii="宋体" w:hAnsi="宋体" w:eastAsia="宋体" w:cs="宋体"/>
          <w:kern w:val="0"/>
          <w:sz w:val="24"/>
          <w:szCs w:val="24"/>
        </w:rPr>
        <w:t>价格扣除的规则如下：</w:t>
      </w:r>
    </w:p>
    <w:tbl>
      <w:tblPr>
        <w:tblStyle w:val="9"/>
        <w:tblW w:w="0" w:type="auto"/>
        <w:tblInd w:w="0" w:type="dxa"/>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autofit"/>
        <w:tblCellMar>
          <w:top w:w="0" w:type="dxa"/>
          <w:left w:w="0" w:type="dxa"/>
          <w:bottom w:w="0" w:type="dxa"/>
          <w:right w:w="0" w:type="dxa"/>
        </w:tblCellMar>
      </w:tblPr>
      <w:tblGrid>
        <w:gridCol w:w="1170"/>
        <w:gridCol w:w="7144"/>
      </w:tblGrid>
      <w:tr w14:paraId="49228584">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rPr>
          <w:tblHeader/>
        </w:trPr>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487498E8">
            <w:pPr>
              <w:widowControl/>
              <w:jc w:val="left"/>
              <w:rPr>
                <w:rFonts w:ascii="宋体" w:hAnsi="宋体" w:eastAsia="宋体" w:cs="宋体"/>
                <w:kern w:val="0"/>
                <w:sz w:val="24"/>
                <w:szCs w:val="24"/>
              </w:rPr>
            </w:pPr>
            <w:r>
              <w:rPr>
                <w:rFonts w:ascii="宋体" w:hAnsi="宋体" w:eastAsia="宋体" w:cs="宋体"/>
                <w:kern w:val="0"/>
                <w:sz w:val="24"/>
                <w:szCs w:val="24"/>
              </w:rPr>
              <w:t>评标项目</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60E2A8B0">
            <w:pPr>
              <w:widowControl/>
              <w:jc w:val="left"/>
              <w:rPr>
                <w:rFonts w:ascii="宋体" w:hAnsi="宋体" w:eastAsia="宋体" w:cs="宋体"/>
                <w:kern w:val="0"/>
                <w:sz w:val="24"/>
                <w:szCs w:val="24"/>
              </w:rPr>
            </w:pPr>
            <w:r>
              <w:rPr>
                <w:rFonts w:ascii="宋体" w:hAnsi="宋体" w:eastAsia="宋体" w:cs="宋体"/>
                <w:kern w:val="0"/>
                <w:sz w:val="24"/>
                <w:szCs w:val="24"/>
              </w:rPr>
              <w:t>评标方法</w:t>
            </w:r>
          </w:p>
        </w:tc>
      </w:tr>
      <w:tr w14:paraId="1A2B87D1">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61364C1E">
            <w:pPr>
              <w:widowControl/>
              <w:jc w:val="left"/>
              <w:rPr>
                <w:rFonts w:ascii="宋体" w:hAnsi="宋体" w:eastAsia="宋体" w:cs="宋体"/>
                <w:kern w:val="0"/>
                <w:sz w:val="24"/>
                <w:szCs w:val="24"/>
              </w:rPr>
            </w:pPr>
            <w:r>
              <w:rPr>
                <w:rFonts w:ascii="宋体" w:hAnsi="宋体" w:eastAsia="宋体" w:cs="宋体"/>
                <w:kern w:val="0"/>
                <w:sz w:val="24"/>
                <w:szCs w:val="24"/>
              </w:rPr>
              <w:t>小型、微型企业，监狱企业，残疾人</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44B292C3">
            <w:pPr>
              <w:widowControl/>
              <w:jc w:val="left"/>
              <w:rPr>
                <w:rFonts w:ascii="宋体" w:hAnsi="宋体" w:eastAsia="宋体" w:cs="宋体"/>
                <w:kern w:val="0"/>
                <w:sz w:val="24"/>
                <w:szCs w:val="24"/>
              </w:rPr>
            </w:pPr>
            <w:r>
              <w:rPr>
                <w:rFonts w:ascii="宋体" w:hAnsi="宋体" w:eastAsia="宋体" w:cs="宋体"/>
                <w:b/>
                <w:bCs/>
                <w:kern w:val="0"/>
                <w:sz w:val="24"/>
                <w:szCs w:val="24"/>
              </w:rPr>
              <w:t>(一)《政府采购促进中小企业发展管理办法》价格的扣除： 1、根据财政部、工业和信息化部关于发布《政府采购促进中小企业发展管理办法》(财库〔2020〕46号)，本办法所称中小企业，是指在中华人民共和国境内依法设立，依据国务院批准的中小企业划分标准确定的中型企业、小型企业和微型企业，但与大企业的负责人为同一人，或者与大企业存在直接控股、管理关系的除外。 2、在政府采购活动中，供应商提供的货物、工程或者服务符合下列情形的，享受本评标项目第(一)条第3点规定的中小企业扶持政策： (1)在货物采购项目中，货物由中小企业制造，即货物由中小企业生产且使用该中小企业商号或者注册商标； (2)在工程采购项目中，工程由中小企业承建，即工程施工单位为中小企业； (3)在服务采购项目中，服务由中小企业承接，即提供服务的人员为中小企业依照《中华人民共和国劳动合同法》订立劳动合同的从业人员。 在货物采购项目中，供应商提供的货物既有中小企业制造货物，也有大型企业制造货物的，不享受本评标项目第(一)条第3点规定的中小企业扶持政策。 3、本项目为非专门面向中小企业的项目，对小微企业报价给予10%的扣除，用扣除后的价格参加评审。残疾人集中就业企业、监狱企业视同小微企业，享受评审中价格扣除的政府采购政策。 4、监狱企业参加政府采购活动时，应当提供由省级以上监狱管理局、戒毒管理局(含新疆生产建设兵团)出具的属于监狱企业的证明文件，否则不予价格扣除。 5、依据《政府采购促进中小企业发展管理办法》规定享受扶持政策获得政府采购合同的，小微企业不得将合同分包给大中型企业，中型企业不得将合同分包给大型企业。 6、采购标的对应的中小企业划分标准所属行业为工业，若供应商提供的《中小企业声明函》中填写的行业与招标文件明确的采购标的对应的中小企业划分标准所属行业不一致，则不予认定为小微企业，不予价格扣除。 注：中小企业参加政府采购活动，应当出具《政府采购促进中小企业发展管理办法》规定的《中小企业声明函》(见第七章投标文件格式), 否则不得享受相关中小企业扶持政策。评标委员会审查此项响应性只根据投标文件本身的内容，而不寻求其他的外部证据。根据财政部、工业和信息化部关于发布《政府采购促进中小企业发展管理办法》(财库〔2020〕46号)的规定，中标供应商享受本办法规定的中小企业扶持政策的，采购人、采购代理机构应当随中标结果公开中标供应商的《中小企业声明函》。供应商按照本办法规定提供声明函内容不实的，属于提供虚假材料谋取中标，依照《中华人民共和国政府采购法》等国家有关规定追究相应责任。 (二) 残疾人福利性单位价格的扣除： 1、根据财政部 民政部 中国残疾人联合会印发的《三部门联合发布关于促进残疾人就业政府采购政策的通知》财库〔2017〕141号和福建省财政厅 福建省民政厅 福建省残疾人联合会印发的《关于进一步落实政府采购支持残疾人就业政策的通知》，依照《政府采购法》、《残疾人保障法》等法律法规及相关规定，享受政府采购支持政策的残疾人福利性单位应当同时满足以下条件： (1)安置的残疾人占本单位在职职工人数的比例不低于25%(含25%)，并且安置的残疾人人数不少于10人(含10人)； (2)依法与安置的每位残疾人签订了一年以上(含一年)的劳动合同或服务协议； (3)为安置的每位残疾人按月足额缴纳了基本养老保险、基本医疗保险、失业保险、工伤保险和生育保险等社会保险费； (4)通过银行等金融机构向安置的每位残疾人，按月支付了不低于单位所在区县适用的经省级人民政府批准的月最低工资标准的工资； (5)提供本单位制造的货物、承担的工程或者服务(以下简称产品)，或者提供其他残疾人福利性单位制造的货物(不包括使用非残疾人福利性单位注册商标的货物)。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 2、符合条件的残疾人福利性单位在参加政府采购活动时，应当提供《三部门联合发布关于促进残疾人就业政府采购政策的通知》规定的《残疾人福利性单位声明函》(见第七章投标文件格式)，并对声明的真实性负责。根据福建省财政厅政府采购监督管理办公室印发《关于残疾人福利性单位参加政府采购活动价格扣除的通知》，对于残疾人福利性单位参与货物项目的，残疾人福利性单位还应同时提供“残疾人福利性单位产品统计表”(见采购文件相关附件)，标明具体哪些货物是其本单位制造的货物，或者是由其他残疾人福利性单位制造的货物(不包括使用非残疾人福利性单位注册商标的货物)，仅有标明部分的货物才能启动价格扣除，不由残疾人福利性单位制造的货物部分，不得进行价格扣除。 3、在政府采购活动中，残疾人福利性单位视同小型、微型企业，对残疾人福利性单位产品价格给予10%的扣除；残疾人福利性单位属于小微企业的，不重复享受政策(按照扣除比例较高的扣除)。 注：根据《财政部 民政部 中国残疾人联合会关于促进残疾人就业政府采购政策的通知》(财库〔2017〕 141号)的规定，中标供应商为残疾人福利性单位的，采购代理机构将随中标结果同时公告其《残疾人福利性单位声明函》，接受社会监督。供应商提供的《残疾人福利性单位声明函》与事实不符的，将依照《政府采购法》第七十七条第一款的规定被追究法律责任。 (本文件中其他有关对小微企业及其报价扣除描述情况与此处不一致的，以此处为准)</w:t>
            </w:r>
          </w:p>
        </w:tc>
      </w:tr>
    </w:tbl>
    <w:p w14:paraId="1539AF62">
      <w:pPr>
        <w:widowControl/>
        <w:spacing w:after="150"/>
        <w:ind w:firstLine="480"/>
        <w:jc w:val="left"/>
        <w:rPr>
          <w:rFonts w:ascii="宋体" w:hAnsi="宋体" w:eastAsia="宋体" w:cs="宋体"/>
          <w:kern w:val="0"/>
          <w:sz w:val="24"/>
          <w:szCs w:val="24"/>
        </w:rPr>
      </w:pPr>
      <w:r>
        <w:rPr>
          <w:rFonts w:hint="eastAsia" w:ascii="宋体" w:hAnsi="宋体" w:eastAsia="宋体" w:cs="宋体"/>
          <w:kern w:val="0"/>
          <w:sz w:val="24"/>
          <w:szCs w:val="24"/>
        </w:rPr>
        <w:t>②技术项（</w:t>
      </w:r>
      <w:r>
        <w:rPr>
          <w:rFonts w:ascii="Calibri" w:hAnsi="Calibri" w:eastAsia="宋体" w:cs="Calibri"/>
          <w:kern w:val="0"/>
          <w:sz w:val="24"/>
          <w:szCs w:val="24"/>
        </w:rPr>
        <w:t>F2</w:t>
      </w:r>
      <w:r>
        <w:rPr>
          <w:rFonts w:hint="eastAsia" w:ascii="宋体" w:hAnsi="宋体" w:eastAsia="宋体" w:cs="宋体"/>
          <w:kern w:val="0"/>
          <w:sz w:val="24"/>
          <w:szCs w:val="24"/>
        </w:rPr>
        <w:t>×</w:t>
      </w:r>
      <w:r>
        <w:rPr>
          <w:rFonts w:ascii="Calibri" w:hAnsi="Calibri" w:eastAsia="宋体" w:cs="Calibri"/>
          <w:kern w:val="0"/>
          <w:sz w:val="24"/>
          <w:szCs w:val="24"/>
        </w:rPr>
        <w:t>A2</w:t>
      </w:r>
      <w:r>
        <w:rPr>
          <w:rFonts w:hint="eastAsia" w:ascii="宋体" w:hAnsi="宋体" w:eastAsia="宋体" w:cs="宋体"/>
          <w:kern w:val="0"/>
          <w:sz w:val="24"/>
          <w:szCs w:val="24"/>
        </w:rPr>
        <w:t>）满分为</w:t>
      </w:r>
      <w:r>
        <w:rPr>
          <w:rFonts w:hint="eastAsia" w:ascii="宋体" w:hAnsi="宋体" w:eastAsia="宋体" w:cs="宋体"/>
          <w:kern w:val="0"/>
          <w:sz w:val="24"/>
          <w:szCs w:val="24"/>
          <w:u w:val="single"/>
        </w:rPr>
        <w:t>57</w:t>
      </w:r>
      <w:r>
        <w:rPr>
          <w:rFonts w:hint="eastAsia" w:ascii="宋体" w:hAnsi="宋体" w:eastAsia="宋体" w:cs="宋体"/>
          <w:kern w:val="0"/>
          <w:sz w:val="24"/>
          <w:szCs w:val="24"/>
        </w:rPr>
        <w:t>分。</w:t>
      </w:r>
    </w:p>
    <w:tbl>
      <w:tblPr>
        <w:tblStyle w:val="9"/>
        <w:tblW w:w="0" w:type="auto"/>
        <w:tblInd w:w="0" w:type="dxa"/>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autofit"/>
        <w:tblCellMar>
          <w:top w:w="0" w:type="dxa"/>
          <w:left w:w="0" w:type="dxa"/>
          <w:bottom w:w="0" w:type="dxa"/>
          <w:right w:w="0" w:type="dxa"/>
        </w:tblCellMar>
      </w:tblPr>
      <w:tblGrid>
        <w:gridCol w:w="707"/>
        <w:gridCol w:w="406"/>
        <w:gridCol w:w="7201"/>
      </w:tblGrid>
      <w:tr w14:paraId="6B1C0C0E">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rPr>
          <w:tblHeader/>
        </w:trPr>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3C50934E">
            <w:pPr>
              <w:widowControl/>
              <w:jc w:val="left"/>
              <w:rPr>
                <w:rFonts w:ascii="宋体" w:hAnsi="宋体" w:eastAsia="宋体" w:cs="宋体"/>
                <w:kern w:val="0"/>
                <w:sz w:val="24"/>
                <w:szCs w:val="24"/>
              </w:rPr>
            </w:pPr>
            <w:r>
              <w:rPr>
                <w:rFonts w:ascii="宋体" w:hAnsi="宋体" w:eastAsia="宋体" w:cs="宋体"/>
                <w:kern w:val="0"/>
                <w:sz w:val="24"/>
                <w:szCs w:val="24"/>
              </w:rPr>
              <w:t>评标项目</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428BD0A0">
            <w:pPr>
              <w:widowControl/>
              <w:jc w:val="left"/>
              <w:rPr>
                <w:rFonts w:ascii="宋体" w:hAnsi="宋体" w:eastAsia="宋体" w:cs="宋体"/>
                <w:kern w:val="0"/>
                <w:sz w:val="24"/>
                <w:szCs w:val="24"/>
              </w:rPr>
            </w:pPr>
            <w:r>
              <w:rPr>
                <w:rFonts w:ascii="宋体" w:hAnsi="宋体" w:eastAsia="宋体" w:cs="宋体"/>
                <w:kern w:val="0"/>
                <w:sz w:val="24"/>
                <w:szCs w:val="24"/>
              </w:rPr>
              <w:t>评标分值</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7557F6CE">
            <w:pPr>
              <w:widowControl/>
              <w:jc w:val="left"/>
              <w:rPr>
                <w:rFonts w:ascii="宋体" w:hAnsi="宋体" w:eastAsia="宋体" w:cs="宋体"/>
                <w:kern w:val="0"/>
                <w:sz w:val="24"/>
                <w:szCs w:val="24"/>
              </w:rPr>
            </w:pPr>
            <w:r>
              <w:rPr>
                <w:rFonts w:ascii="宋体" w:hAnsi="宋体" w:eastAsia="宋体" w:cs="宋体"/>
                <w:kern w:val="0"/>
                <w:sz w:val="24"/>
                <w:szCs w:val="24"/>
              </w:rPr>
              <w:t>评标方法描述</w:t>
            </w:r>
          </w:p>
        </w:tc>
      </w:tr>
      <w:tr w14:paraId="5E8293D2">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2DA14894">
            <w:pPr>
              <w:widowControl/>
              <w:jc w:val="left"/>
              <w:rPr>
                <w:rFonts w:ascii="宋体" w:hAnsi="宋体" w:eastAsia="宋体" w:cs="宋体"/>
                <w:kern w:val="0"/>
                <w:sz w:val="24"/>
                <w:szCs w:val="24"/>
              </w:rPr>
            </w:pPr>
            <w:r>
              <w:rPr>
                <w:rFonts w:ascii="宋体" w:hAnsi="宋体" w:eastAsia="宋体" w:cs="宋体"/>
                <w:kern w:val="0"/>
                <w:sz w:val="24"/>
                <w:szCs w:val="24"/>
              </w:rPr>
              <w:t>1.响应情况</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74882ADD">
            <w:pPr>
              <w:widowControl/>
              <w:jc w:val="left"/>
              <w:rPr>
                <w:rFonts w:ascii="宋体" w:hAnsi="宋体" w:eastAsia="宋体" w:cs="宋体"/>
                <w:kern w:val="0"/>
                <w:sz w:val="24"/>
                <w:szCs w:val="24"/>
              </w:rPr>
            </w:pPr>
            <w:r>
              <w:rPr>
                <w:rFonts w:ascii="宋体" w:hAnsi="宋体" w:eastAsia="宋体" w:cs="宋体"/>
                <w:kern w:val="0"/>
                <w:sz w:val="24"/>
                <w:szCs w:val="24"/>
              </w:rPr>
              <w:t>48</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325EE2C6">
            <w:pPr>
              <w:widowControl/>
              <w:jc w:val="left"/>
              <w:rPr>
                <w:rFonts w:ascii="宋体" w:hAnsi="宋体" w:eastAsia="宋体" w:cs="宋体"/>
                <w:kern w:val="0"/>
                <w:sz w:val="24"/>
                <w:szCs w:val="24"/>
              </w:rPr>
            </w:pPr>
            <w:r>
              <w:rPr>
                <w:rFonts w:ascii="宋体" w:hAnsi="宋体" w:eastAsia="宋体" w:cs="宋体"/>
                <w:kern w:val="0"/>
                <w:sz w:val="24"/>
                <w:szCs w:val="24"/>
              </w:rPr>
              <w:t>根据各投标人对本项目第五章招标内容及要求“三、技术和服务要求”内容的响应情况进行评分：带★的条款为不允许负偏离的实质性要求，若投标人不能满足要求，则按无效投标处理。对“性能提升要求”中带■号（共15项）部分的内容进行逐条响应，全满足得满分30分，每有一项不满足或未提供符合要求证明材料的扣2分，扣完为止。对“性能提升要求”中带▲号（共18项）部分的内容进行逐条响应，全满足得满分18分，每有一项不满足或未提供符合要求证明材料的扣1分，扣完为止。</w:t>
            </w:r>
          </w:p>
        </w:tc>
      </w:tr>
      <w:tr w14:paraId="4AA2A1B8">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479E5BE6">
            <w:pPr>
              <w:widowControl/>
              <w:jc w:val="left"/>
              <w:rPr>
                <w:rFonts w:ascii="宋体" w:hAnsi="宋体" w:eastAsia="宋体" w:cs="宋体"/>
                <w:kern w:val="0"/>
                <w:sz w:val="24"/>
                <w:szCs w:val="24"/>
              </w:rPr>
            </w:pPr>
            <w:r>
              <w:rPr>
                <w:rFonts w:ascii="宋体" w:hAnsi="宋体" w:eastAsia="宋体" w:cs="宋体"/>
                <w:kern w:val="0"/>
                <w:sz w:val="24"/>
                <w:szCs w:val="24"/>
              </w:rPr>
              <w:t>2.临时线路要求</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201DD8B6">
            <w:pPr>
              <w:widowControl/>
              <w:jc w:val="left"/>
              <w:rPr>
                <w:rFonts w:ascii="宋体" w:hAnsi="宋体" w:eastAsia="宋体" w:cs="宋体"/>
                <w:kern w:val="0"/>
                <w:sz w:val="24"/>
                <w:szCs w:val="24"/>
              </w:rPr>
            </w:pPr>
            <w:r>
              <w:rPr>
                <w:rFonts w:ascii="宋体" w:hAnsi="宋体" w:eastAsia="宋体" w:cs="宋体"/>
                <w:kern w:val="0"/>
                <w:sz w:val="24"/>
                <w:szCs w:val="24"/>
              </w:rPr>
              <w:t>1</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4796959D">
            <w:pPr>
              <w:widowControl/>
              <w:jc w:val="left"/>
              <w:rPr>
                <w:rFonts w:ascii="宋体" w:hAnsi="宋体" w:eastAsia="宋体" w:cs="宋体"/>
                <w:kern w:val="0"/>
                <w:sz w:val="24"/>
                <w:szCs w:val="24"/>
              </w:rPr>
            </w:pPr>
            <w:r>
              <w:rPr>
                <w:rFonts w:ascii="宋体" w:hAnsi="宋体" w:eastAsia="宋体" w:cs="宋体"/>
                <w:kern w:val="0"/>
                <w:sz w:val="24"/>
                <w:szCs w:val="24"/>
              </w:rPr>
              <w:t>投标人承诺在其得知或应当得知中标（以发布的中标公告时间为准）的10天内提供中心间所需的2条临时线路，并确保线路的网络质量符合本项目技术规范书数据迁移及云平台运行的要求（线路1：移动上街中心机房至电信长乐中心机房，裸纤、10GE STN或OTN线路；线路2：电信长乐中心机房至兴业鳌峰机房，裸纤、500M STN或OTN线路）的得1分，并加盖投标人公章，未提供或承诺不全的不得分。</w:t>
            </w:r>
          </w:p>
        </w:tc>
      </w:tr>
      <w:tr w14:paraId="260AB637">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13EC8799">
            <w:pPr>
              <w:widowControl/>
              <w:jc w:val="left"/>
              <w:rPr>
                <w:rFonts w:ascii="宋体" w:hAnsi="宋体" w:eastAsia="宋体" w:cs="宋体"/>
                <w:kern w:val="0"/>
                <w:sz w:val="24"/>
                <w:szCs w:val="24"/>
              </w:rPr>
            </w:pPr>
            <w:r>
              <w:rPr>
                <w:rFonts w:ascii="宋体" w:hAnsi="宋体" w:eastAsia="宋体" w:cs="宋体"/>
                <w:kern w:val="0"/>
                <w:sz w:val="24"/>
                <w:szCs w:val="24"/>
              </w:rPr>
              <w:t>3.过渡期服务保障</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3D51A1EA">
            <w:pPr>
              <w:widowControl/>
              <w:jc w:val="left"/>
              <w:rPr>
                <w:rFonts w:ascii="宋体" w:hAnsi="宋体" w:eastAsia="宋体" w:cs="宋体"/>
                <w:kern w:val="0"/>
                <w:sz w:val="24"/>
                <w:szCs w:val="24"/>
              </w:rPr>
            </w:pPr>
            <w:r>
              <w:rPr>
                <w:rFonts w:ascii="宋体" w:hAnsi="宋体" w:eastAsia="宋体" w:cs="宋体"/>
                <w:kern w:val="0"/>
                <w:sz w:val="24"/>
                <w:szCs w:val="24"/>
              </w:rPr>
              <w:t>2</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19BFE7FB">
            <w:pPr>
              <w:widowControl/>
              <w:jc w:val="left"/>
              <w:rPr>
                <w:rFonts w:ascii="宋体" w:hAnsi="宋体" w:eastAsia="宋体" w:cs="宋体"/>
                <w:kern w:val="0"/>
                <w:sz w:val="24"/>
                <w:szCs w:val="24"/>
              </w:rPr>
            </w:pPr>
            <w:r>
              <w:rPr>
                <w:rFonts w:ascii="宋体" w:hAnsi="宋体" w:eastAsia="宋体" w:cs="宋体"/>
                <w:kern w:val="0"/>
                <w:sz w:val="24"/>
                <w:szCs w:val="24"/>
              </w:rPr>
              <w:t>投标人承诺在其得知或应当得知中标（以发布的中标公告时间为准）的10天内提供云资源能力供福建省医疗保障局核心云平台过渡期间使用，直至本期设备到货并部署完成。所提供的资源必须纳入医保专网，严禁与其他网络连接，满足医保容灾及只读功能需求；提供不少于4200核心（不含超线程）、不少于45000G内存、不少于1700T存储空间资源。投标人须详细列出所提供资源，承诺3天内提供云资源能力（承诺函须加盖投标人公章）的得2分，承诺10天内提供云资源能力（承诺函须加盖投标人公章）的得1分，未提供或承诺不全的不得分。</w:t>
            </w:r>
          </w:p>
        </w:tc>
      </w:tr>
      <w:tr w14:paraId="5CA3AB4B">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68BA1692">
            <w:pPr>
              <w:widowControl/>
              <w:jc w:val="left"/>
              <w:rPr>
                <w:rFonts w:ascii="宋体" w:hAnsi="宋体" w:eastAsia="宋体" w:cs="宋体"/>
                <w:kern w:val="0"/>
                <w:sz w:val="24"/>
                <w:szCs w:val="24"/>
              </w:rPr>
            </w:pPr>
            <w:r>
              <w:rPr>
                <w:rFonts w:ascii="宋体" w:hAnsi="宋体" w:eastAsia="宋体" w:cs="宋体"/>
                <w:kern w:val="0"/>
                <w:sz w:val="24"/>
                <w:szCs w:val="24"/>
              </w:rPr>
              <w:t>4.总体建设方案</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6994966D">
            <w:pPr>
              <w:widowControl/>
              <w:jc w:val="left"/>
              <w:rPr>
                <w:rFonts w:ascii="宋体" w:hAnsi="宋体" w:eastAsia="宋体" w:cs="宋体"/>
                <w:kern w:val="0"/>
                <w:sz w:val="24"/>
                <w:szCs w:val="24"/>
              </w:rPr>
            </w:pPr>
            <w:r>
              <w:rPr>
                <w:rFonts w:ascii="宋体" w:hAnsi="宋体" w:eastAsia="宋体" w:cs="宋体"/>
                <w:kern w:val="0"/>
                <w:sz w:val="24"/>
                <w:szCs w:val="24"/>
              </w:rPr>
              <w:t>3</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1D6FC4B8">
            <w:pPr>
              <w:widowControl/>
              <w:jc w:val="left"/>
              <w:rPr>
                <w:rFonts w:ascii="宋体" w:hAnsi="宋体" w:eastAsia="宋体" w:cs="宋体"/>
                <w:kern w:val="0"/>
                <w:sz w:val="24"/>
                <w:szCs w:val="24"/>
              </w:rPr>
            </w:pPr>
            <w:r>
              <w:rPr>
                <w:rFonts w:ascii="宋体" w:hAnsi="宋体" w:eastAsia="宋体" w:cs="宋体"/>
                <w:kern w:val="0"/>
                <w:sz w:val="24"/>
                <w:szCs w:val="24"/>
              </w:rPr>
              <w:t>投标人依据本项目的技术规范要求提供详细的建设方案，方案包括但不限于对项目现云计算资源优化、数据库资源优化、安全管理区资源优化、网络资源优化、原有数据归集平台服务器二次集成方案等。云计算资源优化内容须包括但不限于扩容计算节点的具体规划实施及配置方案；数据库资源优化内容须包括但不限于节点扩容数据保护实施方案；网络资源优化方案须包括但不限于扩容计算节点与核心交换机、接入交换机的互联方案及端口规划；根据投标人提供的方案进行评分：结构编排合理，主题清晰，设计详细，整体论述完整准确，实施计划科学易行，技术标准高，前瞻性和可扩展性强，得3分；主题及结构较为合理，设计较为详细，论述完整，具备切实可行性，得2分；主题及结构一般，设计较简单，论述完整一般，可实施但内容描述一般的得1分；主题及结构偏离，设计、论述不完整，不具备可实施性的不得分。</w:t>
            </w:r>
          </w:p>
        </w:tc>
      </w:tr>
      <w:tr w14:paraId="5C9EBB2B">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658BFD92">
            <w:pPr>
              <w:widowControl/>
              <w:jc w:val="left"/>
              <w:rPr>
                <w:rFonts w:ascii="宋体" w:hAnsi="宋体" w:eastAsia="宋体" w:cs="宋体"/>
                <w:kern w:val="0"/>
                <w:sz w:val="24"/>
                <w:szCs w:val="24"/>
              </w:rPr>
            </w:pPr>
            <w:r>
              <w:rPr>
                <w:rFonts w:ascii="宋体" w:hAnsi="宋体" w:eastAsia="宋体" w:cs="宋体"/>
                <w:kern w:val="0"/>
                <w:sz w:val="24"/>
                <w:szCs w:val="24"/>
              </w:rPr>
              <w:t>5.故障预防及应急方案</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14C7AEE3">
            <w:pPr>
              <w:widowControl/>
              <w:jc w:val="left"/>
              <w:rPr>
                <w:rFonts w:ascii="宋体" w:hAnsi="宋体" w:eastAsia="宋体" w:cs="宋体"/>
                <w:kern w:val="0"/>
                <w:sz w:val="24"/>
                <w:szCs w:val="24"/>
              </w:rPr>
            </w:pPr>
            <w:r>
              <w:rPr>
                <w:rFonts w:ascii="宋体" w:hAnsi="宋体" w:eastAsia="宋体" w:cs="宋体"/>
                <w:kern w:val="0"/>
                <w:sz w:val="24"/>
                <w:szCs w:val="24"/>
              </w:rPr>
              <w:t>1</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3170C5ED">
            <w:pPr>
              <w:widowControl/>
              <w:jc w:val="left"/>
              <w:rPr>
                <w:rFonts w:ascii="宋体" w:hAnsi="宋体" w:eastAsia="宋体" w:cs="宋体"/>
                <w:kern w:val="0"/>
                <w:sz w:val="24"/>
                <w:szCs w:val="24"/>
              </w:rPr>
            </w:pPr>
            <w:r>
              <w:rPr>
                <w:rFonts w:ascii="宋体" w:hAnsi="宋体" w:eastAsia="宋体" w:cs="宋体"/>
                <w:kern w:val="0"/>
                <w:sz w:val="24"/>
                <w:szCs w:val="24"/>
              </w:rPr>
              <w:t>投标人依据本项目的技术规范要求提供故障预防及应急方案，方案包括但不限于云资源、IDC、专线等故障预防及应急方案。根据投标人提供的方案进行评分：结构编排合理，主题清晰，设计详细，整体论述完整准确，实施计划科学易行，技术标准高，前瞻性和可扩展性强，得1分；主题及结构较为合理，设计较为详细，论述完整，具备切实可行性，得0.5分；主题及结构偏离，设计、论述不完整，不具备可实施性的不得分。</w:t>
            </w:r>
          </w:p>
        </w:tc>
      </w:tr>
      <w:tr w14:paraId="129AF314">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56EFC7E9">
            <w:pPr>
              <w:widowControl/>
              <w:jc w:val="left"/>
              <w:rPr>
                <w:rFonts w:ascii="宋体" w:hAnsi="宋体" w:eastAsia="宋体" w:cs="宋体"/>
                <w:kern w:val="0"/>
                <w:sz w:val="24"/>
                <w:szCs w:val="24"/>
              </w:rPr>
            </w:pPr>
            <w:r>
              <w:rPr>
                <w:rFonts w:ascii="宋体" w:hAnsi="宋体" w:eastAsia="宋体" w:cs="宋体"/>
                <w:kern w:val="0"/>
                <w:sz w:val="24"/>
                <w:szCs w:val="24"/>
              </w:rPr>
              <w:t>6.服务管理方案</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7565A23C">
            <w:pPr>
              <w:widowControl/>
              <w:jc w:val="left"/>
              <w:rPr>
                <w:rFonts w:ascii="宋体" w:hAnsi="宋体" w:eastAsia="宋体" w:cs="宋体"/>
                <w:kern w:val="0"/>
                <w:sz w:val="24"/>
                <w:szCs w:val="24"/>
              </w:rPr>
            </w:pPr>
            <w:r>
              <w:rPr>
                <w:rFonts w:ascii="宋体" w:hAnsi="宋体" w:eastAsia="宋体" w:cs="宋体"/>
                <w:kern w:val="0"/>
                <w:sz w:val="24"/>
                <w:szCs w:val="24"/>
              </w:rPr>
              <w:t>2</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22BBDFAC">
            <w:pPr>
              <w:widowControl/>
              <w:jc w:val="left"/>
              <w:rPr>
                <w:rFonts w:ascii="宋体" w:hAnsi="宋体" w:eastAsia="宋体" w:cs="宋体"/>
                <w:kern w:val="0"/>
                <w:sz w:val="24"/>
                <w:szCs w:val="24"/>
              </w:rPr>
            </w:pPr>
            <w:r>
              <w:rPr>
                <w:rFonts w:ascii="宋体" w:hAnsi="宋体" w:eastAsia="宋体" w:cs="宋体"/>
                <w:kern w:val="0"/>
                <w:sz w:val="24"/>
                <w:szCs w:val="24"/>
              </w:rPr>
              <w:t>投标人针对本项目提供集成、运维服务管理方案，方案包括但不限于质量管理、人员管理、过程管理、文档管理、特殊时期重保管理、数据库专项运维服务、服务提供情况、服务保障情况等。数据库专项运维服务方案须包含但不限于软硬件一体化运维服务、工单系统管理、运维服务过程回溯，信息设备巡检服务等内容。根据投标人提供的方案进行评分：结构编排合理，主题清晰，设计详细，整体论述完整准确，实施计划科学易行，技术标准高，前瞻性和可扩展性强，得2分；主题及结构较为合理，设计较为详细，论述完整，具备切实可行性，得1分；主题及结构一般，设计较简单，论述完整一般，可实施但内容描述一般的得0.5分；主题及结构偏离，设计、论述不完整，不具备可实施性的不得分。</w:t>
            </w:r>
          </w:p>
        </w:tc>
      </w:tr>
    </w:tbl>
    <w:p w14:paraId="439584CC">
      <w:pPr>
        <w:widowControl/>
        <w:spacing w:after="150"/>
        <w:ind w:firstLine="480"/>
        <w:jc w:val="left"/>
        <w:rPr>
          <w:rFonts w:ascii="宋体" w:hAnsi="宋体" w:eastAsia="宋体" w:cs="宋体"/>
          <w:kern w:val="0"/>
          <w:sz w:val="24"/>
          <w:szCs w:val="24"/>
        </w:rPr>
      </w:pPr>
      <w:r>
        <w:rPr>
          <w:rFonts w:hint="eastAsia" w:ascii="宋体" w:hAnsi="宋体" w:eastAsia="宋体" w:cs="宋体"/>
          <w:kern w:val="0"/>
          <w:sz w:val="24"/>
          <w:szCs w:val="24"/>
        </w:rPr>
        <w:t>③商务项（</w:t>
      </w:r>
      <w:r>
        <w:rPr>
          <w:rFonts w:ascii="Calibri" w:hAnsi="Calibri" w:eastAsia="宋体" w:cs="Calibri"/>
          <w:kern w:val="0"/>
          <w:sz w:val="24"/>
          <w:szCs w:val="24"/>
        </w:rPr>
        <w:t>F3</w:t>
      </w:r>
      <w:r>
        <w:rPr>
          <w:rFonts w:hint="eastAsia" w:ascii="宋体" w:hAnsi="宋体" w:eastAsia="宋体" w:cs="宋体"/>
          <w:kern w:val="0"/>
          <w:sz w:val="24"/>
          <w:szCs w:val="24"/>
        </w:rPr>
        <w:t>×</w:t>
      </w:r>
      <w:r>
        <w:rPr>
          <w:rFonts w:ascii="Calibri" w:hAnsi="Calibri" w:eastAsia="宋体" w:cs="Calibri"/>
          <w:kern w:val="0"/>
          <w:sz w:val="24"/>
          <w:szCs w:val="24"/>
        </w:rPr>
        <w:t>A3</w:t>
      </w:r>
      <w:r>
        <w:rPr>
          <w:rFonts w:hint="eastAsia" w:ascii="宋体" w:hAnsi="宋体" w:eastAsia="宋体" w:cs="宋体"/>
          <w:kern w:val="0"/>
          <w:sz w:val="24"/>
          <w:szCs w:val="24"/>
        </w:rPr>
        <w:t>）满分为</w:t>
      </w:r>
      <w:r>
        <w:rPr>
          <w:rFonts w:hint="eastAsia" w:ascii="宋体" w:hAnsi="宋体" w:eastAsia="宋体" w:cs="宋体"/>
          <w:kern w:val="0"/>
          <w:sz w:val="24"/>
          <w:szCs w:val="24"/>
          <w:u w:val="single"/>
        </w:rPr>
        <w:t>13</w:t>
      </w:r>
      <w:r>
        <w:rPr>
          <w:rFonts w:hint="eastAsia" w:ascii="宋体" w:hAnsi="宋体" w:eastAsia="宋体" w:cs="宋体"/>
          <w:kern w:val="0"/>
          <w:sz w:val="24"/>
          <w:szCs w:val="24"/>
        </w:rPr>
        <w:t>分。</w:t>
      </w:r>
    </w:p>
    <w:tbl>
      <w:tblPr>
        <w:tblStyle w:val="9"/>
        <w:tblW w:w="0" w:type="auto"/>
        <w:tblInd w:w="0" w:type="dxa"/>
        <w:tblLayout w:type="autofit"/>
        <w:tblCellMar>
          <w:top w:w="0" w:type="dxa"/>
          <w:left w:w="0" w:type="dxa"/>
          <w:bottom w:w="0" w:type="dxa"/>
          <w:right w:w="0" w:type="dxa"/>
        </w:tblCellMar>
      </w:tblPr>
      <w:tblGrid>
        <w:gridCol w:w="438"/>
        <w:gridCol w:w="490"/>
        <w:gridCol w:w="7386"/>
      </w:tblGrid>
      <w:tr w14:paraId="14194CCD">
        <w:tblPrEx>
          <w:tblCellMar>
            <w:top w:w="0" w:type="dxa"/>
            <w:left w:w="0" w:type="dxa"/>
            <w:bottom w:w="0" w:type="dxa"/>
            <w:right w:w="0" w:type="dxa"/>
          </w:tblCellMar>
        </w:tblPrEx>
        <w:trPr>
          <w:tblHeader/>
        </w:trPr>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6BD0FF23">
            <w:pPr>
              <w:widowControl/>
              <w:jc w:val="left"/>
              <w:rPr>
                <w:rFonts w:ascii="宋体" w:hAnsi="宋体" w:eastAsia="宋体" w:cs="宋体"/>
                <w:kern w:val="0"/>
                <w:sz w:val="24"/>
                <w:szCs w:val="24"/>
              </w:rPr>
            </w:pPr>
            <w:r>
              <w:rPr>
                <w:rFonts w:ascii="宋体" w:hAnsi="宋体" w:eastAsia="宋体" w:cs="宋体"/>
                <w:kern w:val="0"/>
                <w:sz w:val="24"/>
                <w:szCs w:val="24"/>
              </w:rPr>
              <w:t>评标项目</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2423E92C">
            <w:pPr>
              <w:widowControl/>
              <w:jc w:val="left"/>
              <w:rPr>
                <w:rFonts w:ascii="宋体" w:hAnsi="宋体" w:eastAsia="宋体" w:cs="宋体"/>
                <w:kern w:val="0"/>
                <w:sz w:val="24"/>
                <w:szCs w:val="24"/>
              </w:rPr>
            </w:pPr>
            <w:r>
              <w:rPr>
                <w:rFonts w:ascii="宋体" w:hAnsi="宋体" w:eastAsia="宋体" w:cs="宋体"/>
                <w:kern w:val="0"/>
                <w:sz w:val="24"/>
                <w:szCs w:val="24"/>
              </w:rPr>
              <w:t>评标分值</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3D7A4A0D">
            <w:pPr>
              <w:widowControl/>
              <w:jc w:val="left"/>
              <w:rPr>
                <w:rFonts w:ascii="宋体" w:hAnsi="宋体" w:eastAsia="宋体" w:cs="宋体"/>
                <w:kern w:val="0"/>
                <w:sz w:val="24"/>
                <w:szCs w:val="24"/>
              </w:rPr>
            </w:pPr>
            <w:r>
              <w:rPr>
                <w:rFonts w:ascii="宋体" w:hAnsi="宋体" w:eastAsia="宋体" w:cs="宋体"/>
                <w:kern w:val="0"/>
                <w:sz w:val="24"/>
                <w:szCs w:val="24"/>
              </w:rPr>
              <w:t>评标方法描述</w:t>
            </w:r>
          </w:p>
        </w:tc>
      </w:tr>
      <w:tr w14:paraId="56DBF5CC">
        <w:tblPrEx>
          <w:tblCellMar>
            <w:top w:w="0" w:type="dxa"/>
            <w:left w:w="0" w:type="dxa"/>
            <w:bottom w:w="0" w:type="dxa"/>
            <w:right w:w="0" w:type="dxa"/>
          </w:tblCellMar>
        </w:tblPrEx>
        <w:tc>
          <w:tcPr>
            <w:tcW w:w="0" w:type="auto"/>
            <w:vMerge w:val="restart"/>
            <w:tcBorders>
              <w:top w:val="single" w:color="666666" w:sz="6" w:space="0"/>
              <w:left w:val="single" w:color="666666" w:sz="6" w:space="0"/>
              <w:bottom w:val="single" w:color="666666" w:sz="6" w:space="0"/>
              <w:right w:val="single" w:color="666666" w:sz="6" w:space="0"/>
            </w:tcBorders>
            <w:shd w:val="clear" w:color="auto" w:fill="FFFFFF"/>
            <w:vAlign w:val="center"/>
          </w:tcPr>
          <w:p w14:paraId="4889F360">
            <w:pPr>
              <w:widowControl/>
              <w:jc w:val="left"/>
              <w:rPr>
                <w:rFonts w:ascii="宋体" w:hAnsi="宋体" w:eastAsia="宋体" w:cs="宋体"/>
                <w:kern w:val="0"/>
                <w:sz w:val="24"/>
                <w:szCs w:val="24"/>
              </w:rPr>
            </w:pPr>
            <w:r>
              <w:rPr>
                <w:rFonts w:ascii="宋体" w:hAnsi="宋体" w:eastAsia="宋体" w:cs="宋体"/>
                <w:kern w:val="0"/>
                <w:sz w:val="24"/>
                <w:szCs w:val="24"/>
              </w:rPr>
              <w:t>1.企业实力</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144E8C06">
            <w:pPr>
              <w:widowControl/>
              <w:jc w:val="left"/>
              <w:rPr>
                <w:rFonts w:ascii="宋体" w:hAnsi="宋体" w:eastAsia="宋体" w:cs="宋体"/>
                <w:kern w:val="0"/>
                <w:sz w:val="24"/>
                <w:szCs w:val="24"/>
              </w:rPr>
            </w:pPr>
            <w:r>
              <w:rPr>
                <w:rFonts w:ascii="宋体" w:hAnsi="宋体" w:eastAsia="宋体" w:cs="宋体"/>
                <w:kern w:val="0"/>
                <w:sz w:val="24"/>
                <w:szCs w:val="24"/>
              </w:rPr>
              <w:t>2</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4C87CA29">
            <w:pPr>
              <w:widowControl/>
              <w:jc w:val="left"/>
              <w:rPr>
                <w:rFonts w:ascii="宋体" w:hAnsi="宋体" w:eastAsia="宋体" w:cs="宋体"/>
                <w:kern w:val="0"/>
                <w:sz w:val="24"/>
                <w:szCs w:val="24"/>
              </w:rPr>
            </w:pPr>
            <w:r>
              <w:rPr>
                <w:rFonts w:ascii="宋体" w:hAnsi="宋体" w:eastAsia="宋体" w:cs="宋体"/>
                <w:kern w:val="0"/>
                <w:sz w:val="24"/>
                <w:szCs w:val="24"/>
              </w:rPr>
              <w:t>投标人具备有效期内ISO/IEC20000-1信息技术服务管理体系认证证书、ISO/IEC27001信息安全管理体系认证证书、ISO22301-业务连续性管理体系认证证书、ISO9001-质量管理体系认证证书，以上证书每提供一项得0.5分，满分2分。需提供清晰、有效的证书复印件并加盖投标人公章。</w:t>
            </w:r>
          </w:p>
        </w:tc>
      </w:tr>
      <w:tr w14:paraId="57206C8D">
        <w:tblPrEx>
          <w:tblCellMar>
            <w:top w:w="0" w:type="dxa"/>
            <w:left w:w="0" w:type="dxa"/>
            <w:bottom w:w="0" w:type="dxa"/>
            <w:right w:w="0" w:type="dxa"/>
          </w:tblCellMar>
        </w:tblPrEx>
        <w:tc>
          <w:tcPr>
            <w:tcW w:w="0" w:type="auto"/>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19FCFF0C">
            <w:pPr>
              <w:widowControl/>
              <w:jc w:val="left"/>
              <w:rPr>
                <w:rFonts w:ascii="宋体" w:hAnsi="宋体" w:eastAsia="宋体" w:cs="宋体"/>
                <w:kern w:val="0"/>
                <w:sz w:val="24"/>
                <w:szCs w:val="24"/>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553D8F9C">
            <w:pPr>
              <w:widowControl/>
              <w:jc w:val="left"/>
              <w:rPr>
                <w:rFonts w:ascii="宋体" w:hAnsi="宋体" w:eastAsia="宋体" w:cs="宋体"/>
                <w:kern w:val="0"/>
                <w:sz w:val="24"/>
                <w:szCs w:val="24"/>
              </w:rPr>
            </w:pPr>
            <w:r>
              <w:rPr>
                <w:rFonts w:ascii="宋体" w:hAnsi="宋体" w:eastAsia="宋体" w:cs="宋体"/>
                <w:kern w:val="0"/>
                <w:sz w:val="24"/>
                <w:szCs w:val="24"/>
              </w:rPr>
              <w:t>1</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6548AA5D">
            <w:pPr>
              <w:widowControl/>
              <w:jc w:val="left"/>
              <w:rPr>
                <w:rFonts w:ascii="宋体" w:hAnsi="宋体" w:eastAsia="宋体" w:cs="宋体"/>
                <w:kern w:val="0"/>
                <w:sz w:val="24"/>
                <w:szCs w:val="24"/>
              </w:rPr>
            </w:pPr>
            <w:r>
              <w:rPr>
                <w:rFonts w:ascii="宋体" w:hAnsi="宋体" w:eastAsia="宋体" w:cs="宋体"/>
                <w:kern w:val="0"/>
                <w:sz w:val="24"/>
                <w:szCs w:val="24"/>
              </w:rPr>
              <w:t>投标人具备信息安全系统灾难备份与恢复服务资质一级的得1分；二级的得0.5分，其他不得分。需提供清晰、有效的证书复印件并加盖投标人公章。</w:t>
            </w:r>
          </w:p>
        </w:tc>
      </w:tr>
      <w:tr w14:paraId="7C421EC8">
        <w:tblPrEx>
          <w:tblCellMar>
            <w:top w:w="0" w:type="dxa"/>
            <w:left w:w="0" w:type="dxa"/>
            <w:bottom w:w="0" w:type="dxa"/>
            <w:right w:w="0" w:type="dxa"/>
          </w:tblCellMar>
        </w:tblPrEx>
        <w:tc>
          <w:tcPr>
            <w:tcW w:w="0" w:type="auto"/>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33FB4DE5">
            <w:pPr>
              <w:widowControl/>
              <w:jc w:val="left"/>
              <w:rPr>
                <w:rFonts w:ascii="宋体" w:hAnsi="宋体" w:eastAsia="宋体" w:cs="宋体"/>
                <w:kern w:val="0"/>
                <w:sz w:val="24"/>
                <w:szCs w:val="24"/>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2D748DBF">
            <w:pPr>
              <w:widowControl/>
              <w:jc w:val="left"/>
              <w:rPr>
                <w:rFonts w:ascii="宋体" w:hAnsi="宋体" w:eastAsia="宋体" w:cs="宋体"/>
                <w:kern w:val="0"/>
                <w:sz w:val="24"/>
                <w:szCs w:val="24"/>
              </w:rPr>
            </w:pPr>
            <w:r>
              <w:rPr>
                <w:rFonts w:ascii="宋体" w:hAnsi="宋体" w:eastAsia="宋体" w:cs="宋体"/>
                <w:kern w:val="0"/>
                <w:sz w:val="24"/>
                <w:szCs w:val="24"/>
              </w:rPr>
              <w:t>1</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33637A15">
            <w:pPr>
              <w:widowControl/>
              <w:jc w:val="left"/>
              <w:rPr>
                <w:rFonts w:ascii="宋体" w:hAnsi="宋体" w:eastAsia="宋体" w:cs="宋体"/>
                <w:kern w:val="0"/>
                <w:sz w:val="24"/>
                <w:szCs w:val="24"/>
              </w:rPr>
            </w:pPr>
            <w:r>
              <w:rPr>
                <w:rFonts w:ascii="宋体" w:hAnsi="宋体" w:eastAsia="宋体" w:cs="宋体"/>
                <w:kern w:val="0"/>
                <w:sz w:val="24"/>
                <w:szCs w:val="24"/>
              </w:rPr>
              <w:t>投标人具备中国信息安全测评中心颁发的国家信息安全漏洞库（CNNVD）技术支撑单位证书的，得1分。（要求提供证书相关证明复印件并加盖投标人公章）</w:t>
            </w:r>
          </w:p>
        </w:tc>
      </w:tr>
      <w:tr w14:paraId="439B6499">
        <w:tblPrEx>
          <w:tblCellMar>
            <w:top w:w="0" w:type="dxa"/>
            <w:left w:w="0" w:type="dxa"/>
            <w:bottom w:w="0" w:type="dxa"/>
            <w:right w:w="0" w:type="dxa"/>
          </w:tblCellMar>
        </w:tblPrEx>
        <w:tc>
          <w:tcPr>
            <w:tcW w:w="0" w:type="auto"/>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04A01879">
            <w:pPr>
              <w:widowControl/>
              <w:jc w:val="left"/>
              <w:rPr>
                <w:rFonts w:ascii="宋体" w:hAnsi="宋体" w:eastAsia="宋体" w:cs="宋体"/>
                <w:kern w:val="0"/>
                <w:sz w:val="24"/>
                <w:szCs w:val="24"/>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40C5A010">
            <w:pPr>
              <w:widowControl/>
              <w:jc w:val="left"/>
              <w:rPr>
                <w:rFonts w:ascii="宋体" w:hAnsi="宋体" w:eastAsia="宋体" w:cs="宋体"/>
                <w:kern w:val="0"/>
                <w:sz w:val="24"/>
                <w:szCs w:val="24"/>
              </w:rPr>
            </w:pPr>
            <w:r>
              <w:rPr>
                <w:rFonts w:ascii="宋体" w:hAnsi="宋体" w:eastAsia="宋体" w:cs="宋体"/>
                <w:kern w:val="0"/>
                <w:sz w:val="24"/>
                <w:szCs w:val="24"/>
              </w:rPr>
              <w:t>1</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4C2A79F1">
            <w:pPr>
              <w:widowControl/>
              <w:jc w:val="left"/>
              <w:rPr>
                <w:rFonts w:ascii="宋体" w:hAnsi="宋体" w:eastAsia="宋体" w:cs="宋体"/>
                <w:kern w:val="0"/>
                <w:sz w:val="24"/>
                <w:szCs w:val="24"/>
              </w:rPr>
            </w:pPr>
            <w:r>
              <w:rPr>
                <w:rFonts w:ascii="宋体" w:hAnsi="宋体" w:eastAsia="宋体" w:cs="宋体"/>
                <w:kern w:val="0"/>
                <w:sz w:val="24"/>
                <w:szCs w:val="24"/>
              </w:rPr>
              <w:t>投标人具备有效期内网络安全等级保护测评与检测评估机构资质认证的，得1分，其他不得分。（要求提供证书相关证明复印件并加盖投标人公章）</w:t>
            </w:r>
          </w:p>
        </w:tc>
      </w:tr>
      <w:tr w14:paraId="59B462B3">
        <w:tblPrEx>
          <w:tblCellMar>
            <w:top w:w="0" w:type="dxa"/>
            <w:left w:w="0" w:type="dxa"/>
            <w:bottom w:w="0" w:type="dxa"/>
            <w:right w:w="0" w:type="dxa"/>
          </w:tblCellMar>
        </w:tblPrEx>
        <w:tc>
          <w:tcPr>
            <w:tcW w:w="0" w:type="auto"/>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580CCA82">
            <w:pPr>
              <w:widowControl/>
              <w:jc w:val="left"/>
              <w:rPr>
                <w:rFonts w:ascii="宋体" w:hAnsi="宋体" w:eastAsia="宋体" w:cs="宋体"/>
                <w:kern w:val="0"/>
                <w:sz w:val="24"/>
                <w:szCs w:val="24"/>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394ECB31">
            <w:pPr>
              <w:widowControl/>
              <w:jc w:val="left"/>
              <w:rPr>
                <w:rFonts w:ascii="宋体" w:hAnsi="宋体" w:eastAsia="宋体" w:cs="宋体"/>
                <w:kern w:val="0"/>
                <w:sz w:val="24"/>
                <w:szCs w:val="24"/>
              </w:rPr>
            </w:pPr>
            <w:r>
              <w:rPr>
                <w:rFonts w:ascii="宋体" w:hAnsi="宋体" w:eastAsia="宋体" w:cs="宋体"/>
                <w:kern w:val="0"/>
                <w:sz w:val="24"/>
                <w:szCs w:val="24"/>
              </w:rPr>
              <w:t>1</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2ADCFF26">
            <w:pPr>
              <w:widowControl/>
              <w:jc w:val="left"/>
              <w:rPr>
                <w:rFonts w:ascii="宋体" w:hAnsi="宋体" w:eastAsia="宋体" w:cs="宋体"/>
                <w:kern w:val="0"/>
                <w:sz w:val="24"/>
                <w:szCs w:val="24"/>
              </w:rPr>
            </w:pPr>
            <w:r>
              <w:rPr>
                <w:rFonts w:ascii="宋体" w:hAnsi="宋体" w:eastAsia="宋体" w:cs="宋体"/>
                <w:kern w:val="0"/>
                <w:sz w:val="24"/>
                <w:szCs w:val="24"/>
              </w:rPr>
              <w:t>投标人具备有效期内的信息系统应急处理信息安全服务资质认证，一级的得1分，二级的得0.5分，其他不得分。（要求提供证书相关证明复印件并加盖投标人公章）</w:t>
            </w:r>
          </w:p>
        </w:tc>
      </w:tr>
      <w:tr w14:paraId="545A3D7B">
        <w:tblPrEx>
          <w:tblCellMar>
            <w:top w:w="0" w:type="dxa"/>
            <w:left w:w="0" w:type="dxa"/>
            <w:bottom w:w="0" w:type="dxa"/>
            <w:right w:w="0" w:type="dxa"/>
          </w:tblCellMar>
        </w:tblPrEx>
        <w:tc>
          <w:tcPr>
            <w:tcW w:w="0" w:type="auto"/>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060683B7">
            <w:pPr>
              <w:widowControl/>
              <w:jc w:val="left"/>
              <w:rPr>
                <w:rFonts w:ascii="宋体" w:hAnsi="宋体" w:eastAsia="宋体" w:cs="宋体"/>
                <w:kern w:val="0"/>
                <w:sz w:val="24"/>
                <w:szCs w:val="24"/>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16A3586E">
            <w:pPr>
              <w:widowControl/>
              <w:jc w:val="left"/>
              <w:rPr>
                <w:rFonts w:ascii="宋体" w:hAnsi="宋体" w:eastAsia="宋体" w:cs="宋体"/>
                <w:kern w:val="0"/>
                <w:sz w:val="24"/>
                <w:szCs w:val="24"/>
              </w:rPr>
            </w:pPr>
            <w:r>
              <w:rPr>
                <w:rFonts w:ascii="宋体" w:hAnsi="宋体" w:eastAsia="宋体" w:cs="宋体"/>
                <w:kern w:val="0"/>
                <w:sz w:val="24"/>
                <w:szCs w:val="24"/>
              </w:rPr>
              <w:t>1</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134F867F">
            <w:pPr>
              <w:widowControl/>
              <w:jc w:val="left"/>
              <w:rPr>
                <w:rFonts w:ascii="宋体" w:hAnsi="宋体" w:eastAsia="宋体" w:cs="宋体"/>
                <w:kern w:val="0"/>
                <w:sz w:val="24"/>
                <w:szCs w:val="24"/>
              </w:rPr>
            </w:pPr>
            <w:r>
              <w:rPr>
                <w:rFonts w:ascii="宋体" w:hAnsi="宋体" w:eastAsia="宋体" w:cs="宋体"/>
                <w:kern w:val="0"/>
                <w:sz w:val="24"/>
                <w:szCs w:val="24"/>
              </w:rPr>
              <w:t>投标人具备有效期内ITSS信息技术服务运行维护符合性证书一级的得1分，二级的得0.5分，其他不得分。需提供清晰、有效的证书复印件并加盖投标人公章。</w:t>
            </w:r>
          </w:p>
        </w:tc>
      </w:tr>
      <w:tr w14:paraId="44877261">
        <w:tblPrEx>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1BE767E6">
            <w:pPr>
              <w:widowControl/>
              <w:jc w:val="left"/>
              <w:rPr>
                <w:rFonts w:ascii="宋体" w:hAnsi="宋体" w:eastAsia="宋体" w:cs="宋体"/>
                <w:kern w:val="0"/>
                <w:sz w:val="24"/>
                <w:szCs w:val="24"/>
              </w:rPr>
            </w:pPr>
            <w:r>
              <w:rPr>
                <w:rFonts w:ascii="宋体" w:hAnsi="宋体" w:eastAsia="宋体" w:cs="宋体"/>
                <w:kern w:val="0"/>
                <w:sz w:val="24"/>
                <w:szCs w:val="24"/>
              </w:rPr>
              <w:t>2.业绩</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03E69FD5">
            <w:pPr>
              <w:widowControl/>
              <w:jc w:val="left"/>
              <w:rPr>
                <w:rFonts w:ascii="宋体" w:hAnsi="宋体" w:eastAsia="宋体" w:cs="宋体"/>
                <w:kern w:val="0"/>
                <w:sz w:val="24"/>
                <w:szCs w:val="24"/>
              </w:rPr>
            </w:pPr>
            <w:r>
              <w:rPr>
                <w:rFonts w:ascii="宋体" w:hAnsi="宋体" w:eastAsia="宋体" w:cs="宋体"/>
                <w:kern w:val="0"/>
                <w:sz w:val="24"/>
                <w:szCs w:val="24"/>
              </w:rPr>
              <w:t>2</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39E2DE88">
            <w:pPr>
              <w:widowControl/>
              <w:jc w:val="left"/>
              <w:rPr>
                <w:rFonts w:ascii="宋体" w:hAnsi="宋体" w:eastAsia="宋体" w:cs="宋体"/>
                <w:kern w:val="0"/>
                <w:sz w:val="24"/>
                <w:szCs w:val="24"/>
              </w:rPr>
            </w:pPr>
            <w:r>
              <w:rPr>
                <w:rFonts w:ascii="宋体" w:hAnsi="宋体" w:eastAsia="宋体" w:cs="宋体"/>
                <w:kern w:val="0"/>
                <w:sz w:val="24"/>
                <w:szCs w:val="24"/>
              </w:rPr>
              <w:t>根据投标人2017年1月1日（以合同时间为准）以来自身完成的信息化集成项目业绩进行评审，承担过省级或省级以上部门相关建设经验，合同内容中应包含“云平台”、“云建设”或“云扩容”字眼，每提供一份完整的业绩证明材料得1分，满分2分。注：投标人须提供该业绩项目以下资料复印件：①中标成交公告(提供相关网站中标或成交公告的下载网页及其网址)；②中标(成交)通知书；③采购合同关键页；④能够证明该业绩项目已经采购人验收合格的相关证明文件。</w:t>
            </w:r>
          </w:p>
        </w:tc>
      </w:tr>
      <w:tr w14:paraId="1088387D">
        <w:tblPrEx>
          <w:tblCellMar>
            <w:top w:w="0" w:type="dxa"/>
            <w:left w:w="0" w:type="dxa"/>
            <w:bottom w:w="0" w:type="dxa"/>
            <w:right w:w="0" w:type="dxa"/>
          </w:tblCellMar>
        </w:tblPrEx>
        <w:tc>
          <w:tcPr>
            <w:tcW w:w="0" w:type="auto"/>
            <w:vMerge w:val="restart"/>
            <w:tcBorders>
              <w:top w:val="single" w:color="666666" w:sz="6" w:space="0"/>
              <w:left w:val="single" w:color="666666" w:sz="6" w:space="0"/>
              <w:bottom w:val="single" w:color="666666" w:sz="6" w:space="0"/>
              <w:right w:val="single" w:color="666666" w:sz="6" w:space="0"/>
            </w:tcBorders>
            <w:shd w:val="clear" w:color="auto" w:fill="FFFFFF"/>
            <w:vAlign w:val="center"/>
          </w:tcPr>
          <w:p w14:paraId="7493568D">
            <w:pPr>
              <w:widowControl/>
              <w:jc w:val="left"/>
              <w:rPr>
                <w:rFonts w:ascii="宋体" w:hAnsi="宋体" w:eastAsia="宋体" w:cs="宋体"/>
                <w:kern w:val="0"/>
                <w:sz w:val="24"/>
                <w:szCs w:val="24"/>
              </w:rPr>
            </w:pPr>
            <w:r>
              <w:rPr>
                <w:rFonts w:ascii="宋体" w:hAnsi="宋体" w:eastAsia="宋体" w:cs="宋体"/>
                <w:kern w:val="0"/>
                <w:sz w:val="24"/>
                <w:szCs w:val="24"/>
              </w:rPr>
              <w:t>3.项目团队</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1CAC24D1">
            <w:pPr>
              <w:widowControl/>
              <w:jc w:val="left"/>
              <w:rPr>
                <w:rFonts w:ascii="宋体" w:hAnsi="宋体" w:eastAsia="宋体" w:cs="宋体"/>
                <w:kern w:val="0"/>
                <w:sz w:val="24"/>
                <w:szCs w:val="24"/>
              </w:rPr>
            </w:pPr>
            <w:r>
              <w:rPr>
                <w:rFonts w:ascii="宋体" w:hAnsi="宋体" w:eastAsia="宋体" w:cs="宋体"/>
                <w:kern w:val="0"/>
                <w:sz w:val="24"/>
                <w:szCs w:val="24"/>
              </w:rPr>
              <w:t>1</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0EE64F51">
            <w:pPr>
              <w:widowControl/>
              <w:jc w:val="left"/>
              <w:rPr>
                <w:rFonts w:ascii="宋体" w:hAnsi="宋体" w:eastAsia="宋体" w:cs="宋体"/>
                <w:kern w:val="0"/>
                <w:sz w:val="24"/>
                <w:szCs w:val="24"/>
              </w:rPr>
            </w:pPr>
            <w:r>
              <w:rPr>
                <w:rFonts w:ascii="宋体" w:hAnsi="宋体" w:eastAsia="宋体" w:cs="宋体"/>
                <w:kern w:val="0"/>
                <w:sz w:val="24"/>
                <w:szCs w:val="24"/>
              </w:rPr>
              <w:t>投标人为本项目提供2名项目经理，2名项目经理互为互为AB角。项目经理A角须同时具有信息系统项目管理师或PMP认证资质、高级工程师证书、系统架构师证书的得0.5分；项目经理B须同时具备信息系统项目管理师或PMP认证资质、高级工程师</w:t>
            </w:r>
            <w:r>
              <w:rPr>
                <w:rFonts w:hint="eastAsia" w:ascii="宋体" w:hAnsi="宋体" w:eastAsia="宋体" w:cs="宋体"/>
                <w:kern w:val="0"/>
                <w:sz w:val="24"/>
                <w:szCs w:val="24"/>
              </w:rPr>
              <w:t>认证</w:t>
            </w:r>
            <w:r>
              <w:rPr>
                <w:rFonts w:ascii="宋体" w:hAnsi="宋体" w:eastAsia="宋体" w:cs="宋体"/>
                <w:kern w:val="0"/>
                <w:sz w:val="24"/>
                <w:szCs w:val="24"/>
              </w:rPr>
              <w:t>证书的得0.5分，总分1分，未提供相关证书的本条不得分。 投标人须承诺项目经理专职承担本项目工作并提供相应承诺函、有效的证书复印件以及项目经理投标截止时间前六个月（不含投标截止时间的当月）中任一月份的社会保险缴纳凭据复印件，并加盖投标人公章，未提供或提供不全的本项不得分。（项目团队中所有人员不可重复得分）</w:t>
            </w:r>
          </w:p>
        </w:tc>
      </w:tr>
      <w:tr w14:paraId="78C303D7">
        <w:tblPrEx>
          <w:tblCellMar>
            <w:top w:w="0" w:type="dxa"/>
            <w:left w:w="0" w:type="dxa"/>
            <w:bottom w:w="0" w:type="dxa"/>
            <w:right w:w="0" w:type="dxa"/>
          </w:tblCellMar>
        </w:tblPrEx>
        <w:tc>
          <w:tcPr>
            <w:tcW w:w="0" w:type="auto"/>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1BEA2F54">
            <w:pPr>
              <w:widowControl/>
              <w:jc w:val="left"/>
              <w:rPr>
                <w:rFonts w:ascii="宋体" w:hAnsi="宋体" w:eastAsia="宋体" w:cs="宋体"/>
                <w:kern w:val="0"/>
                <w:sz w:val="24"/>
                <w:szCs w:val="24"/>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60A41E5E">
            <w:pPr>
              <w:widowControl/>
              <w:jc w:val="left"/>
              <w:rPr>
                <w:rFonts w:ascii="宋体" w:hAnsi="宋体" w:eastAsia="宋体" w:cs="宋体"/>
                <w:kern w:val="0"/>
                <w:sz w:val="24"/>
                <w:szCs w:val="24"/>
              </w:rPr>
            </w:pPr>
            <w:r>
              <w:rPr>
                <w:rFonts w:ascii="宋体" w:hAnsi="宋体" w:eastAsia="宋体" w:cs="宋体"/>
                <w:kern w:val="0"/>
                <w:sz w:val="24"/>
                <w:szCs w:val="24"/>
              </w:rPr>
              <w:t>0.5</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2FB407D5">
            <w:pPr>
              <w:widowControl/>
              <w:jc w:val="left"/>
              <w:rPr>
                <w:rFonts w:ascii="宋体" w:hAnsi="宋体" w:eastAsia="宋体" w:cs="宋体"/>
                <w:kern w:val="0"/>
                <w:sz w:val="24"/>
                <w:szCs w:val="24"/>
              </w:rPr>
            </w:pPr>
            <w:r>
              <w:rPr>
                <w:rFonts w:ascii="宋体" w:hAnsi="宋体" w:eastAsia="宋体" w:cs="宋体"/>
                <w:kern w:val="0"/>
                <w:sz w:val="24"/>
                <w:szCs w:val="24"/>
              </w:rPr>
              <w:t>投标人须投入本项目至少8名技术负责人，其中，提供至少3名具有网络工程师认证证书的得0.5分。须有效的证书复印件（原件备查）并加盖投标人公章以及投标截止时间前六个月（不含投标截止时间的当月）中任一月份投标人为其缴纳的社会保险凭据复印件，否则不得分。（项目团队中所有人员不可重复得分）</w:t>
            </w:r>
          </w:p>
        </w:tc>
      </w:tr>
      <w:tr w14:paraId="754930B0">
        <w:tblPrEx>
          <w:tblCellMar>
            <w:top w:w="0" w:type="dxa"/>
            <w:left w:w="0" w:type="dxa"/>
            <w:bottom w:w="0" w:type="dxa"/>
            <w:right w:w="0" w:type="dxa"/>
          </w:tblCellMar>
        </w:tblPrEx>
        <w:tc>
          <w:tcPr>
            <w:tcW w:w="0" w:type="auto"/>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0E726CA9">
            <w:pPr>
              <w:widowControl/>
              <w:jc w:val="left"/>
              <w:rPr>
                <w:rFonts w:ascii="宋体" w:hAnsi="宋体" w:eastAsia="宋体" w:cs="宋体"/>
                <w:kern w:val="0"/>
                <w:sz w:val="24"/>
                <w:szCs w:val="24"/>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22E5109D">
            <w:pPr>
              <w:widowControl/>
              <w:jc w:val="left"/>
              <w:rPr>
                <w:rFonts w:ascii="宋体" w:hAnsi="宋体" w:eastAsia="宋体" w:cs="宋体"/>
                <w:kern w:val="0"/>
                <w:sz w:val="24"/>
                <w:szCs w:val="24"/>
              </w:rPr>
            </w:pPr>
            <w:r>
              <w:rPr>
                <w:rFonts w:ascii="宋体" w:hAnsi="宋体" w:eastAsia="宋体" w:cs="宋体"/>
                <w:kern w:val="0"/>
                <w:sz w:val="24"/>
                <w:szCs w:val="24"/>
              </w:rPr>
              <w:t>0.5</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38B96428">
            <w:pPr>
              <w:widowControl/>
              <w:jc w:val="left"/>
              <w:rPr>
                <w:rFonts w:ascii="宋体" w:hAnsi="宋体" w:eastAsia="宋体" w:cs="宋体"/>
                <w:kern w:val="0"/>
                <w:sz w:val="24"/>
                <w:szCs w:val="24"/>
              </w:rPr>
            </w:pPr>
            <w:r>
              <w:rPr>
                <w:rFonts w:ascii="宋体" w:hAnsi="宋体" w:eastAsia="宋体" w:cs="宋体"/>
                <w:kern w:val="0"/>
                <w:sz w:val="24"/>
                <w:szCs w:val="24"/>
              </w:rPr>
              <w:t>投标人须投入本项目的至少8名技术负责人，其中，提供至少1名具有数据库系统工程师认证证书的得0.5分。须有效的证书复印件（原件备查）并加盖投标人公章以及投标截止时间前六个月（不含投标截止时间的当月）中任一月份投标人为其缴纳的社会保险凭据复印件，否则不得分。（项目团队中所有人员不可重复得分）</w:t>
            </w:r>
          </w:p>
        </w:tc>
      </w:tr>
      <w:tr w14:paraId="0884B105">
        <w:tblPrEx>
          <w:tblCellMar>
            <w:top w:w="0" w:type="dxa"/>
            <w:left w:w="0" w:type="dxa"/>
            <w:bottom w:w="0" w:type="dxa"/>
            <w:right w:w="0" w:type="dxa"/>
          </w:tblCellMar>
        </w:tblPrEx>
        <w:tc>
          <w:tcPr>
            <w:tcW w:w="0" w:type="auto"/>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3C0A4BB7">
            <w:pPr>
              <w:widowControl/>
              <w:jc w:val="left"/>
              <w:rPr>
                <w:rFonts w:ascii="宋体" w:hAnsi="宋体" w:eastAsia="宋体" w:cs="宋体"/>
                <w:kern w:val="0"/>
                <w:sz w:val="24"/>
                <w:szCs w:val="24"/>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6BA1E785">
            <w:pPr>
              <w:widowControl/>
              <w:jc w:val="left"/>
              <w:rPr>
                <w:rFonts w:ascii="宋体" w:hAnsi="宋体" w:eastAsia="宋体" w:cs="宋体"/>
                <w:kern w:val="0"/>
                <w:sz w:val="24"/>
                <w:szCs w:val="24"/>
              </w:rPr>
            </w:pPr>
            <w:r>
              <w:rPr>
                <w:rFonts w:ascii="宋体" w:hAnsi="宋体" w:eastAsia="宋体" w:cs="宋体"/>
                <w:kern w:val="0"/>
                <w:sz w:val="24"/>
                <w:szCs w:val="24"/>
              </w:rPr>
              <w:t>0.5</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4DF6E382">
            <w:pPr>
              <w:widowControl/>
              <w:jc w:val="left"/>
              <w:rPr>
                <w:rFonts w:ascii="宋体" w:hAnsi="宋体" w:eastAsia="宋体" w:cs="宋体"/>
                <w:kern w:val="0"/>
                <w:sz w:val="24"/>
                <w:szCs w:val="24"/>
              </w:rPr>
            </w:pPr>
            <w:r>
              <w:rPr>
                <w:rFonts w:ascii="宋体" w:hAnsi="宋体" w:eastAsia="宋体" w:cs="宋体"/>
                <w:kern w:val="0"/>
                <w:sz w:val="24"/>
                <w:szCs w:val="24"/>
              </w:rPr>
              <w:t>投标人须投入本项目的至少8名技术负责人，其中，提供至少2名具有系统架构设计师认证证书的得0.5分。须有效的证书复印件（原件备查）并加盖投标人公章以及投标截止时间前六个月（不含投标截止时间的当月）中任一月份投标人为其缴纳的社会保险凭据复印件，否则不得分。（项目团队中所有人员不可重复得分）</w:t>
            </w:r>
          </w:p>
        </w:tc>
      </w:tr>
      <w:tr w14:paraId="75C7DB8E">
        <w:tblPrEx>
          <w:tblCellMar>
            <w:top w:w="0" w:type="dxa"/>
            <w:left w:w="0" w:type="dxa"/>
            <w:bottom w:w="0" w:type="dxa"/>
            <w:right w:w="0" w:type="dxa"/>
          </w:tblCellMar>
        </w:tblPrEx>
        <w:tc>
          <w:tcPr>
            <w:tcW w:w="0" w:type="auto"/>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6D51DF32">
            <w:pPr>
              <w:widowControl/>
              <w:jc w:val="left"/>
              <w:rPr>
                <w:rFonts w:ascii="宋体" w:hAnsi="宋体" w:eastAsia="宋体" w:cs="宋体"/>
                <w:kern w:val="0"/>
                <w:sz w:val="24"/>
                <w:szCs w:val="24"/>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51E9AFCF">
            <w:pPr>
              <w:widowControl/>
              <w:jc w:val="left"/>
              <w:rPr>
                <w:rFonts w:ascii="宋体" w:hAnsi="宋体" w:eastAsia="宋体" w:cs="宋体"/>
                <w:kern w:val="0"/>
                <w:sz w:val="24"/>
                <w:szCs w:val="24"/>
              </w:rPr>
            </w:pPr>
            <w:r>
              <w:rPr>
                <w:rFonts w:ascii="宋体" w:hAnsi="宋体" w:eastAsia="宋体" w:cs="宋体"/>
                <w:kern w:val="0"/>
                <w:sz w:val="24"/>
                <w:szCs w:val="24"/>
              </w:rPr>
              <w:t>0.5</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09D0C7BB">
            <w:pPr>
              <w:widowControl/>
              <w:jc w:val="left"/>
              <w:rPr>
                <w:rFonts w:ascii="宋体" w:hAnsi="宋体" w:eastAsia="宋体" w:cs="宋体"/>
                <w:kern w:val="0"/>
                <w:sz w:val="24"/>
                <w:szCs w:val="24"/>
              </w:rPr>
            </w:pPr>
            <w:r>
              <w:rPr>
                <w:rFonts w:ascii="宋体" w:hAnsi="宋体" w:eastAsia="宋体" w:cs="宋体"/>
                <w:kern w:val="0"/>
                <w:sz w:val="24"/>
                <w:szCs w:val="24"/>
              </w:rPr>
              <w:t>投标人须投入本项目的至少8名技术负责人，其中，提供至少2名具有系统分析师认证证书的得0.5分。须有效的证书复印件（原件备查）并加盖投标人公章以及投标截止时间前六个月（不含投标截止时间的当月）中任一月份投标人为其缴纳的社会保险凭据复印件，否则不得分。（项目团队中所有人员不可重复得分）</w:t>
            </w:r>
          </w:p>
        </w:tc>
      </w:tr>
      <w:tr w14:paraId="3D2A385B">
        <w:tblPrEx>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52662D69">
            <w:pPr>
              <w:widowControl/>
              <w:jc w:val="left"/>
              <w:rPr>
                <w:rFonts w:ascii="宋体" w:hAnsi="宋体" w:eastAsia="宋体" w:cs="宋体"/>
                <w:kern w:val="0"/>
                <w:sz w:val="24"/>
                <w:szCs w:val="24"/>
              </w:rPr>
            </w:pPr>
            <w:r>
              <w:rPr>
                <w:rFonts w:ascii="宋体" w:hAnsi="宋体" w:eastAsia="宋体" w:cs="宋体"/>
                <w:kern w:val="0"/>
                <w:sz w:val="24"/>
                <w:szCs w:val="24"/>
              </w:rPr>
              <w:t>4.服务承诺</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32AC938A">
            <w:pPr>
              <w:widowControl/>
              <w:jc w:val="left"/>
              <w:rPr>
                <w:rFonts w:ascii="宋体" w:hAnsi="宋体" w:eastAsia="宋体" w:cs="宋体"/>
                <w:kern w:val="0"/>
                <w:sz w:val="24"/>
                <w:szCs w:val="24"/>
              </w:rPr>
            </w:pPr>
            <w:r>
              <w:rPr>
                <w:rFonts w:ascii="宋体" w:hAnsi="宋体" w:eastAsia="宋体" w:cs="宋体"/>
                <w:kern w:val="0"/>
                <w:sz w:val="24"/>
                <w:szCs w:val="24"/>
              </w:rPr>
              <w:t>1</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3C8F9B19">
            <w:pPr>
              <w:widowControl/>
              <w:jc w:val="left"/>
              <w:rPr>
                <w:rFonts w:ascii="宋体" w:hAnsi="宋体" w:eastAsia="宋体" w:cs="宋体"/>
                <w:kern w:val="0"/>
                <w:sz w:val="24"/>
                <w:szCs w:val="24"/>
              </w:rPr>
            </w:pPr>
            <w:r>
              <w:rPr>
                <w:rFonts w:ascii="宋体" w:hAnsi="宋体" w:eastAsia="宋体" w:cs="宋体"/>
                <w:kern w:val="0"/>
                <w:sz w:val="24"/>
                <w:szCs w:val="24"/>
              </w:rPr>
              <w:t>投标人承诺提供1名数据库原厂技术保障人员，在本项目软硬件保修期（截止至2025年12月31日）内驻点在招标人指定场所服务，承诺原厂技术保障人员须具备数据库管理工程师或数据库系统工程师认证。投标人提供承诺函的得1分，未提供或提供不全的不得分。</w:t>
            </w:r>
          </w:p>
        </w:tc>
      </w:tr>
    </w:tbl>
    <w:p w14:paraId="0F3B09A1">
      <w:pPr>
        <w:widowControl/>
        <w:spacing w:after="150"/>
        <w:ind w:firstLine="480"/>
        <w:jc w:val="left"/>
        <w:rPr>
          <w:rFonts w:ascii="宋体" w:hAnsi="宋体" w:eastAsia="宋体" w:cs="宋体"/>
          <w:kern w:val="0"/>
          <w:sz w:val="24"/>
          <w:szCs w:val="24"/>
        </w:rPr>
      </w:pPr>
      <w:r>
        <w:rPr>
          <w:rFonts w:hint="eastAsia" w:ascii="宋体" w:hAnsi="宋体" w:eastAsia="宋体" w:cs="宋体"/>
          <w:kern w:val="0"/>
          <w:sz w:val="24"/>
          <w:szCs w:val="24"/>
        </w:rPr>
        <w:t>④加分项（</w:t>
      </w:r>
      <w:r>
        <w:rPr>
          <w:rFonts w:ascii="Calibri" w:hAnsi="Calibri" w:eastAsia="宋体" w:cs="Calibri"/>
          <w:kern w:val="0"/>
          <w:sz w:val="24"/>
          <w:szCs w:val="24"/>
        </w:rPr>
        <w:t>F4</w:t>
      </w:r>
      <w:r>
        <w:rPr>
          <w:rFonts w:hint="eastAsia" w:ascii="宋体" w:hAnsi="宋体" w:eastAsia="宋体" w:cs="宋体"/>
          <w:kern w:val="0"/>
          <w:sz w:val="24"/>
          <w:szCs w:val="24"/>
        </w:rPr>
        <w:t>×</w:t>
      </w:r>
      <w:r>
        <w:rPr>
          <w:rFonts w:ascii="Calibri" w:hAnsi="Calibri" w:eastAsia="宋体" w:cs="Calibri"/>
          <w:kern w:val="0"/>
          <w:sz w:val="24"/>
          <w:szCs w:val="24"/>
        </w:rPr>
        <w:t>A4</w:t>
      </w:r>
      <w:r>
        <w:rPr>
          <w:rFonts w:hint="eastAsia" w:ascii="宋体" w:hAnsi="宋体" w:eastAsia="宋体" w:cs="宋体"/>
          <w:kern w:val="0"/>
          <w:sz w:val="24"/>
          <w:szCs w:val="24"/>
        </w:rPr>
        <w:t>）</w:t>
      </w:r>
    </w:p>
    <w:p w14:paraId="6D2E227E">
      <w:pPr>
        <w:widowControl/>
        <w:spacing w:after="150"/>
        <w:ind w:firstLine="480"/>
        <w:jc w:val="left"/>
        <w:rPr>
          <w:rFonts w:ascii="宋体" w:hAnsi="宋体" w:eastAsia="宋体" w:cs="宋体"/>
          <w:kern w:val="0"/>
          <w:sz w:val="24"/>
          <w:szCs w:val="24"/>
        </w:rPr>
      </w:pPr>
      <w:r>
        <w:rPr>
          <w:rFonts w:hint="eastAsia" w:ascii="宋体" w:hAnsi="宋体" w:eastAsia="宋体" w:cs="宋体"/>
          <w:kern w:val="0"/>
          <w:sz w:val="24"/>
          <w:szCs w:val="24"/>
        </w:rPr>
        <w:t>a.优先类节能产品、环境标志产品：</w:t>
      </w:r>
    </w:p>
    <w:p w14:paraId="3F545C19">
      <w:pPr>
        <w:widowControl/>
        <w:spacing w:after="150"/>
        <w:ind w:firstLine="480"/>
        <w:jc w:val="left"/>
        <w:rPr>
          <w:rFonts w:ascii="宋体" w:hAnsi="宋体" w:eastAsia="宋体" w:cs="宋体"/>
          <w:kern w:val="0"/>
          <w:sz w:val="24"/>
          <w:szCs w:val="24"/>
        </w:rPr>
      </w:pPr>
      <w:r>
        <w:rPr>
          <w:rFonts w:hint="eastAsia" w:ascii="宋体" w:hAnsi="宋体" w:eastAsia="宋体" w:cs="宋体"/>
          <w:kern w:val="0"/>
          <w:sz w:val="24"/>
          <w:szCs w:val="24"/>
        </w:rPr>
        <w:t>a1若同一采购包内节能、环境标志产品报价总金额低于该采购包报价总金额</w:t>
      </w:r>
      <w:r>
        <w:rPr>
          <w:rFonts w:ascii="Calibri" w:hAnsi="Calibri" w:eastAsia="宋体" w:cs="Calibri"/>
          <w:kern w:val="0"/>
          <w:sz w:val="24"/>
          <w:szCs w:val="24"/>
        </w:rPr>
        <w:t>20%</w:t>
      </w:r>
      <w:r>
        <w:rPr>
          <w:rFonts w:hint="eastAsia" w:ascii="宋体" w:hAnsi="宋体" w:eastAsia="宋体" w:cs="宋体"/>
          <w:kern w:val="0"/>
          <w:sz w:val="24"/>
          <w:szCs w:val="24"/>
        </w:rPr>
        <w:t>（含</w:t>
      </w:r>
      <w:r>
        <w:rPr>
          <w:rFonts w:ascii="Calibri" w:hAnsi="Calibri" w:eastAsia="宋体" w:cs="Calibri"/>
          <w:kern w:val="0"/>
          <w:sz w:val="24"/>
          <w:szCs w:val="24"/>
        </w:rPr>
        <w:t>20%</w:t>
      </w:r>
      <w:r>
        <w:rPr>
          <w:rFonts w:hint="eastAsia" w:ascii="宋体" w:hAnsi="宋体" w:eastAsia="宋体" w:cs="宋体"/>
          <w:kern w:val="0"/>
          <w:sz w:val="24"/>
          <w:szCs w:val="24"/>
        </w:rPr>
        <w:t>）以下，将分别给予节能、环境标志产品价格项（</w:t>
      </w:r>
      <w:r>
        <w:rPr>
          <w:rFonts w:ascii="Calibri" w:hAnsi="Calibri" w:eastAsia="宋体" w:cs="Calibri"/>
          <w:kern w:val="0"/>
          <w:sz w:val="24"/>
          <w:szCs w:val="24"/>
        </w:rPr>
        <w:t>F1</w:t>
      </w:r>
      <w:r>
        <w:rPr>
          <w:rFonts w:hint="eastAsia" w:ascii="宋体" w:hAnsi="宋体" w:eastAsia="宋体" w:cs="宋体"/>
          <w:kern w:val="0"/>
          <w:sz w:val="24"/>
          <w:szCs w:val="24"/>
        </w:rPr>
        <w:t>×</w:t>
      </w:r>
      <w:r>
        <w:rPr>
          <w:rFonts w:ascii="Calibri" w:hAnsi="Calibri" w:eastAsia="宋体" w:cs="Calibri"/>
          <w:kern w:val="0"/>
          <w:sz w:val="24"/>
          <w:szCs w:val="24"/>
        </w:rPr>
        <w:t>A1</w:t>
      </w:r>
      <w:r>
        <w:rPr>
          <w:rFonts w:hint="eastAsia" w:ascii="宋体" w:hAnsi="宋体" w:eastAsia="宋体" w:cs="宋体"/>
          <w:kern w:val="0"/>
          <w:sz w:val="24"/>
          <w:szCs w:val="24"/>
        </w:rPr>
        <w:t>，按照满分计）和技术项（</w:t>
      </w:r>
      <w:r>
        <w:rPr>
          <w:rFonts w:ascii="Calibri" w:hAnsi="Calibri" w:eastAsia="宋体" w:cs="Calibri"/>
          <w:kern w:val="0"/>
          <w:sz w:val="24"/>
          <w:szCs w:val="24"/>
        </w:rPr>
        <w:t>F2</w:t>
      </w:r>
      <w:r>
        <w:rPr>
          <w:rFonts w:hint="eastAsia" w:ascii="宋体" w:hAnsi="宋体" w:eastAsia="宋体" w:cs="宋体"/>
          <w:kern w:val="0"/>
          <w:sz w:val="24"/>
          <w:szCs w:val="24"/>
        </w:rPr>
        <w:t>×</w:t>
      </w:r>
      <w:r>
        <w:rPr>
          <w:rFonts w:ascii="Calibri" w:hAnsi="Calibri" w:eastAsia="宋体" w:cs="Calibri"/>
          <w:kern w:val="0"/>
          <w:sz w:val="24"/>
          <w:szCs w:val="24"/>
        </w:rPr>
        <w:t>A2</w:t>
      </w:r>
      <w:r>
        <w:rPr>
          <w:rFonts w:hint="eastAsia" w:ascii="宋体" w:hAnsi="宋体" w:eastAsia="宋体" w:cs="宋体"/>
          <w:kern w:val="0"/>
          <w:sz w:val="24"/>
          <w:szCs w:val="24"/>
        </w:rPr>
        <w:t>，按照满分计）</w:t>
      </w:r>
      <w:r>
        <w:rPr>
          <w:rFonts w:ascii="Calibri" w:hAnsi="Calibri" w:eastAsia="宋体" w:cs="Calibri"/>
          <w:kern w:val="0"/>
          <w:sz w:val="24"/>
          <w:szCs w:val="24"/>
        </w:rPr>
        <w:t>4%</w:t>
      </w:r>
      <w:r>
        <w:rPr>
          <w:rFonts w:hint="eastAsia" w:ascii="宋体" w:hAnsi="宋体" w:eastAsia="宋体" w:cs="宋体"/>
          <w:kern w:val="0"/>
          <w:sz w:val="24"/>
          <w:szCs w:val="24"/>
        </w:rPr>
        <w:t>的加分；若同一采购包内节能、环境标志产品报价总金额占该采购包报价总金额</w:t>
      </w:r>
      <w:r>
        <w:rPr>
          <w:rFonts w:ascii="Calibri" w:hAnsi="Calibri" w:eastAsia="宋体" w:cs="Calibri"/>
          <w:kern w:val="0"/>
          <w:sz w:val="24"/>
          <w:szCs w:val="24"/>
        </w:rPr>
        <w:t>20%-50%</w:t>
      </w:r>
      <w:r>
        <w:rPr>
          <w:rFonts w:hint="eastAsia" w:ascii="宋体" w:hAnsi="宋体" w:eastAsia="宋体" w:cs="宋体"/>
          <w:kern w:val="0"/>
          <w:sz w:val="24"/>
          <w:szCs w:val="24"/>
        </w:rPr>
        <w:t>（含</w:t>
      </w:r>
      <w:r>
        <w:rPr>
          <w:rFonts w:ascii="Calibri" w:hAnsi="Calibri" w:eastAsia="宋体" w:cs="Calibri"/>
          <w:kern w:val="0"/>
          <w:sz w:val="24"/>
          <w:szCs w:val="24"/>
        </w:rPr>
        <w:t>50%</w:t>
      </w:r>
      <w:r>
        <w:rPr>
          <w:rFonts w:hint="eastAsia" w:ascii="宋体" w:hAnsi="宋体" w:eastAsia="宋体" w:cs="宋体"/>
          <w:kern w:val="0"/>
          <w:sz w:val="24"/>
          <w:szCs w:val="24"/>
        </w:rPr>
        <w:t>），将分别给予节能、环境标志产品价格项（</w:t>
      </w:r>
      <w:r>
        <w:rPr>
          <w:rFonts w:ascii="Calibri" w:hAnsi="Calibri" w:eastAsia="宋体" w:cs="Calibri"/>
          <w:kern w:val="0"/>
          <w:sz w:val="24"/>
          <w:szCs w:val="24"/>
        </w:rPr>
        <w:t>F1</w:t>
      </w:r>
      <w:r>
        <w:rPr>
          <w:rFonts w:hint="eastAsia" w:ascii="宋体" w:hAnsi="宋体" w:eastAsia="宋体" w:cs="宋体"/>
          <w:kern w:val="0"/>
          <w:sz w:val="24"/>
          <w:szCs w:val="24"/>
        </w:rPr>
        <w:t>×</w:t>
      </w:r>
      <w:r>
        <w:rPr>
          <w:rFonts w:ascii="Calibri" w:hAnsi="Calibri" w:eastAsia="宋体" w:cs="Calibri"/>
          <w:kern w:val="0"/>
          <w:sz w:val="24"/>
          <w:szCs w:val="24"/>
        </w:rPr>
        <w:t>A1</w:t>
      </w:r>
      <w:r>
        <w:rPr>
          <w:rFonts w:hint="eastAsia" w:ascii="宋体" w:hAnsi="宋体" w:eastAsia="宋体" w:cs="宋体"/>
          <w:kern w:val="0"/>
          <w:sz w:val="24"/>
          <w:szCs w:val="24"/>
        </w:rPr>
        <w:t>，按照满分计）和技术项（</w:t>
      </w:r>
      <w:r>
        <w:rPr>
          <w:rFonts w:ascii="Calibri" w:hAnsi="Calibri" w:eastAsia="宋体" w:cs="Calibri"/>
          <w:kern w:val="0"/>
          <w:sz w:val="24"/>
          <w:szCs w:val="24"/>
        </w:rPr>
        <w:t>F2</w:t>
      </w:r>
      <w:r>
        <w:rPr>
          <w:rFonts w:hint="eastAsia" w:ascii="宋体" w:hAnsi="宋体" w:eastAsia="宋体" w:cs="宋体"/>
          <w:kern w:val="0"/>
          <w:sz w:val="24"/>
          <w:szCs w:val="24"/>
        </w:rPr>
        <w:t>×</w:t>
      </w:r>
      <w:r>
        <w:rPr>
          <w:rFonts w:ascii="Calibri" w:hAnsi="Calibri" w:eastAsia="宋体" w:cs="Calibri"/>
          <w:kern w:val="0"/>
          <w:sz w:val="24"/>
          <w:szCs w:val="24"/>
        </w:rPr>
        <w:t>A2</w:t>
      </w:r>
      <w:r>
        <w:rPr>
          <w:rFonts w:hint="eastAsia" w:ascii="宋体" w:hAnsi="宋体" w:eastAsia="宋体" w:cs="宋体"/>
          <w:kern w:val="0"/>
          <w:sz w:val="24"/>
          <w:szCs w:val="24"/>
        </w:rPr>
        <w:t>，按照满分计）</w:t>
      </w:r>
      <w:r>
        <w:rPr>
          <w:rFonts w:ascii="Calibri" w:hAnsi="Calibri" w:eastAsia="宋体" w:cs="Calibri"/>
          <w:kern w:val="0"/>
          <w:sz w:val="24"/>
          <w:szCs w:val="24"/>
        </w:rPr>
        <w:t>6%</w:t>
      </w:r>
      <w:r>
        <w:rPr>
          <w:rFonts w:hint="eastAsia" w:ascii="宋体" w:hAnsi="宋体" w:eastAsia="宋体" w:cs="宋体"/>
          <w:kern w:val="0"/>
          <w:sz w:val="24"/>
          <w:szCs w:val="24"/>
        </w:rPr>
        <w:t>的加分；若同一采购包内节能、环境标志产品报价总金额占该采购包报价总金额</w:t>
      </w:r>
      <w:r>
        <w:rPr>
          <w:rFonts w:ascii="Calibri" w:hAnsi="Calibri" w:eastAsia="宋体" w:cs="Calibri"/>
          <w:kern w:val="0"/>
          <w:sz w:val="24"/>
          <w:szCs w:val="24"/>
        </w:rPr>
        <w:t>50%</w:t>
      </w:r>
      <w:r>
        <w:rPr>
          <w:rFonts w:hint="eastAsia" w:ascii="宋体" w:hAnsi="宋体" w:eastAsia="宋体" w:cs="宋体"/>
          <w:kern w:val="0"/>
          <w:sz w:val="24"/>
          <w:szCs w:val="24"/>
        </w:rPr>
        <w:t>以上的，将分别给予节能、环境标志产品价格项（</w:t>
      </w:r>
      <w:r>
        <w:rPr>
          <w:rFonts w:ascii="Calibri" w:hAnsi="Calibri" w:eastAsia="宋体" w:cs="Calibri"/>
          <w:kern w:val="0"/>
          <w:sz w:val="24"/>
          <w:szCs w:val="24"/>
        </w:rPr>
        <w:t>F1</w:t>
      </w:r>
      <w:r>
        <w:rPr>
          <w:rFonts w:hint="eastAsia" w:ascii="宋体" w:hAnsi="宋体" w:eastAsia="宋体" w:cs="宋体"/>
          <w:kern w:val="0"/>
          <w:sz w:val="24"/>
          <w:szCs w:val="24"/>
        </w:rPr>
        <w:t>×</w:t>
      </w:r>
      <w:r>
        <w:rPr>
          <w:rFonts w:ascii="Calibri" w:hAnsi="Calibri" w:eastAsia="宋体" w:cs="Calibri"/>
          <w:kern w:val="0"/>
          <w:sz w:val="24"/>
          <w:szCs w:val="24"/>
        </w:rPr>
        <w:t>A1</w:t>
      </w:r>
      <w:r>
        <w:rPr>
          <w:rFonts w:hint="eastAsia" w:ascii="宋体" w:hAnsi="宋体" w:eastAsia="宋体" w:cs="宋体"/>
          <w:kern w:val="0"/>
          <w:sz w:val="24"/>
          <w:szCs w:val="24"/>
        </w:rPr>
        <w:t>，按照满分计）和技术项（</w:t>
      </w:r>
      <w:r>
        <w:rPr>
          <w:rFonts w:ascii="Calibri" w:hAnsi="Calibri" w:eastAsia="宋体" w:cs="Calibri"/>
          <w:kern w:val="0"/>
          <w:sz w:val="24"/>
          <w:szCs w:val="24"/>
        </w:rPr>
        <w:t>F2</w:t>
      </w:r>
      <w:r>
        <w:rPr>
          <w:rFonts w:hint="eastAsia" w:ascii="宋体" w:hAnsi="宋体" w:eastAsia="宋体" w:cs="宋体"/>
          <w:kern w:val="0"/>
          <w:sz w:val="24"/>
          <w:szCs w:val="24"/>
        </w:rPr>
        <w:t>×</w:t>
      </w:r>
      <w:r>
        <w:rPr>
          <w:rFonts w:ascii="Calibri" w:hAnsi="Calibri" w:eastAsia="宋体" w:cs="Calibri"/>
          <w:kern w:val="0"/>
          <w:sz w:val="24"/>
          <w:szCs w:val="24"/>
        </w:rPr>
        <w:t>A2</w:t>
      </w:r>
      <w:r>
        <w:rPr>
          <w:rFonts w:hint="eastAsia" w:ascii="宋体" w:hAnsi="宋体" w:eastAsia="宋体" w:cs="宋体"/>
          <w:kern w:val="0"/>
          <w:sz w:val="24"/>
          <w:szCs w:val="24"/>
        </w:rPr>
        <w:t>，按照满分计）</w:t>
      </w:r>
      <w:r>
        <w:rPr>
          <w:rFonts w:ascii="Calibri" w:hAnsi="Calibri" w:eastAsia="宋体" w:cs="Calibri"/>
          <w:kern w:val="0"/>
          <w:sz w:val="24"/>
          <w:szCs w:val="24"/>
        </w:rPr>
        <w:t>8%</w:t>
      </w:r>
      <w:r>
        <w:rPr>
          <w:rFonts w:hint="eastAsia" w:ascii="宋体" w:hAnsi="宋体" w:eastAsia="宋体" w:cs="宋体"/>
          <w:kern w:val="0"/>
          <w:sz w:val="24"/>
          <w:szCs w:val="24"/>
        </w:rPr>
        <w:t>的加分。</w:t>
      </w:r>
    </w:p>
    <w:p w14:paraId="16772C12">
      <w:pPr>
        <w:widowControl/>
        <w:spacing w:after="150"/>
        <w:ind w:firstLine="480"/>
        <w:jc w:val="left"/>
        <w:rPr>
          <w:rFonts w:ascii="宋体" w:hAnsi="宋体" w:eastAsia="宋体" w:cs="宋体"/>
          <w:kern w:val="0"/>
          <w:sz w:val="24"/>
          <w:szCs w:val="24"/>
        </w:rPr>
      </w:pPr>
      <w:r>
        <w:rPr>
          <w:rFonts w:hint="eastAsia" w:ascii="宋体" w:hAnsi="宋体" w:eastAsia="宋体" w:cs="宋体"/>
          <w:kern w:val="0"/>
          <w:sz w:val="24"/>
          <w:szCs w:val="24"/>
        </w:rPr>
        <w:t>a2若节能、环境标志产品仅是构成投标产品的部件、组件或零件，则该投标产品不享受鼓励优惠政策。同一品目中各认证证书不重复计算加分。强制类节能产品不享受加分。</w:t>
      </w:r>
    </w:p>
    <w:tbl>
      <w:tblPr>
        <w:tblStyle w:val="9"/>
        <w:tblW w:w="0" w:type="auto"/>
        <w:tblInd w:w="0" w:type="dxa"/>
        <w:tblLayout w:type="autofit"/>
        <w:tblCellMar>
          <w:top w:w="0" w:type="dxa"/>
          <w:left w:w="0" w:type="dxa"/>
          <w:bottom w:w="0" w:type="dxa"/>
          <w:right w:w="0" w:type="dxa"/>
        </w:tblCellMar>
      </w:tblPr>
      <w:tblGrid>
        <w:gridCol w:w="894"/>
        <w:gridCol w:w="585"/>
        <w:gridCol w:w="6835"/>
      </w:tblGrid>
      <w:tr w14:paraId="6C3C0AD0">
        <w:tblPrEx>
          <w:tblCellMar>
            <w:top w:w="0" w:type="dxa"/>
            <w:left w:w="0" w:type="dxa"/>
            <w:bottom w:w="0" w:type="dxa"/>
            <w:right w:w="0" w:type="dxa"/>
          </w:tblCellMar>
        </w:tblPrEx>
        <w:trPr>
          <w:tblHeader/>
        </w:trPr>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5F9D702C">
            <w:pPr>
              <w:widowControl/>
              <w:jc w:val="left"/>
              <w:rPr>
                <w:rFonts w:ascii="宋体" w:hAnsi="宋体" w:eastAsia="宋体" w:cs="宋体"/>
                <w:kern w:val="0"/>
                <w:sz w:val="24"/>
                <w:szCs w:val="24"/>
              </w:rPr>
            </w:pPr>
            <w:r>
              <w:rPr>
                <w:rFonts w:ascii="宋体" w:hAnsi="宋体" w:eastAsia="宋体" w:cs="宋体"/>
                <w:kern w:val="0"/>
                <w:sz w:val="24"/>
                <w:szCs w:val="24"/>
              </w:rPr>
              <w:t>评标项目</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62727046">
            <w:pPr>
              <w:widowControl/>
              <w:jc w:val="left"/>
              <w:rPr>
                <w:rFonts w:ascii="宋体" w:hAnsi="宋体" w:eastAsia="宋体" w:cs="宋体"/>
                <w:kern w:val="0"/>
                <w:sz w:val="24"/>
                <w:szCs w:val="24"/>
              </w:rPr>
            </w:pPr>
            <w:r>
              <w:rPr>
                <w:rFonts w:ascii="宋体" w:hAnsi="宋体" w:eastAsia="宋体" w:cs="宋体"/>
                <w:kern w:val="0"/>
                <w:sz w:val="24"/>
                <w:szCs w:val="24"/>
              </w:rPr>
              <w:t>评标分值</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2EA67858">
            <w:pPr>
              <w:widowControl/>
              <w:jc w:val="left"/>
              <w:rPr>
                <w:rFonts w:ascii="宋体" w:hAnsi="宋体" w:eastAsia="宋体" w:cs="宋体"/>
                <w:kern w:val="0"/>
                <w:sz w:val="24"/>
                <w:szCs w:val="24"/>
              </w:rPr>
            </w:pPr>
            <w:r>
              <w:rPr>
                <w:rFonts w:ascii="宋体" w:hAnsi="宋体" w:eastAsia="宋体" w:cs="宋体"/>
                <w:kern w:val="0"/>
                <w:sz w:val="24"/>
                <w:szCs w:val="24"/>
              </w:rPr>
              <w:t>评标方法描述</w:t>
            </w:r>
          </w:p>
        </w:tc>
      </w:tr>
      <w:tr w14:paraId="176FEDF1">
        <w:tblPrEx>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15E0D9A7">
            <w:pPr>
              <w:widowControl/>
              <w:jc w:val="left"/>
              <w:rPr>
                <w:rFonts w:ascii="宋体" w:hAnsi="宋体" w:eastAsia="宋体" w:cs="宋体"/>
                <w:kern w:val="0"/>
                <w:sz w:val="24"/>
                <w:szCs w:val="24"/>
              </w:rPr>
            </w:pPr>
            <w:r>
              <w:rPr>
                <w:rFonts w:ascii="宋体" w:hAnsi="宋体" w:eastAsia="宋体" w:cs="宋体"/>
                <w:kern w:val="0"/>
                <w:sz w:val="24"/>
                <w:szCs w:val="24"/>
              </w:rPr>
              <w:t>节能、环境标志产品部分</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5E8FA1B6">
            <w:pPr>
              <w:widowControl/>
              <w:jc w:val="left"/>
              <w:rPr>
                <w:rFonts w:ascii="宋体" w:hAnsi="宋体" w:eastAsia="宋体" w:cs="宋体"/>
                <w:kern w:val="0"/>
                <w:sz w:val="24"/>
                <w:szCs w:val="24"/>
              </w:rPr>
            </w:pPr>
            <w:r>
              <w:rPr>
                <w:rFonts w:ascii="宋体" w:hAnsi="宋体" w:eastAsia="宋体" w:cs="宋体"/>
                <w:kern w:val="0"/>
                <w:sz w:val="24"/>
                <w:szCs w:val="24"/>
              </w:rPr>
              <w:t>6.96</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6A5B1669">
            <w:pPr>
              <w:widowControl/>
              <w:jc w:val="left"/>
              <w:rPr>
                <w:rFonts w:ascii="宋体" w:hAnsi="宋体" w:eastAsia="宋体" w:cs="宋体"/>
                <w:kern w:val="0"/>
                <w:sz w:val="24"/>
                <w:szCs w:val="24"/>
              </w:rPr>
            </w:pPr>
            <w:r>
              <w:rPr>
                <w:rFonts w:ascii="宋体" w:hAnsi="宋体" w:eastAsia="宋体" w:cs="宋体"/>
                <w:kern w:val="0"/>
                <w:sz w:val="24"/>
                <w:szCs w:val="24"/>
              </w:rPr>
              <w:t>(1)执行财政部 发展改革委 生态环境部 市场监管总局印发《关于调整优化节能产品、环境标志产品政府采购执行机制的通知》(财库〔2019〕9号) 、《关于印发环境标志产品政府采购品目清单的通知》财库〔2019〕18号和《关于印发节能产品政府采购品目清单的通知》(财库〔2019〕19号)的规定。 (2)节能(非强制类产品)、环境标志产品评审优惠内容及幅度如下： ①、若同一合同包内的节能(非强制类产品)、环境标志产品报价总金额占本合同包报价总金额20%(含20%)以下的，将分别给予节能、环境标志产品价格评标项和技术评标项标准总分值4％的加分； ②、若同一合同包内节能(非强制类产品)、环境标志产品报价总金额占本合同包报价总金额20%-50%(含50%)的，将分别给予节能、环境标志产品在价格评标项和技术评标项标准总分值6％的加分； ③、若同一合同包内节能(非强制类产品)、环境标志产品报价总金额占本合同包报价总金额50%以上的，将分别给予节能、环境标志产品在价格评标项和技术评标项标准总分值8％的加分。 (3)对于同时属于节能、环境标志的产品，应当优先于只获得其中一项认证的产品。投标人在投标时必须对属于节能、环境标志产品单独在节能(非强制类)、环境标志产品统计表中填写，并提供产品的证明资料复印件附在报价部分(电子证明资料应上传在对应评分模块)且加盖投标人公章。未单独分项报价或未按规定提供产品的证明资料的不给予加分。投标产品属于节能、环境标志产品的，可享受相关的鼓励优惠政策；若节能、环境标志产品仅是构成投标产品的部件、组件或零件的，则该投标产品不享受鼓励优惠政策。评标委员会审查此项响应性只根据投标文件本身的内容，而不寻求其他的外部证据。(本文件中其他有关附加部分评审中节能、环境标志产品描述情况与此处不一致，以此处为准)</w:t>
            </w:r>
          </w:p>
        </w:tc>
      </w:tr>
    </w:tbl>
    <w:p w14:paraId="30F95904">
      <w:pPr>
        <w:widowControl/>
        <w:spacing w:after="150"/>
        <w:ind w:firstLine="480"/>
        <w:jc w:val="left"/>
        <w:rPr>
          <w:rFonts w:ascii="宋体" w:hAnsi="宋体" w:eastAsia="宋体" w:cs="宋体"/>
          <w:kern w:val="0"/>
          <w:sz w:val="24"/>
          <w:szCs w:val="24"/>
        </w:rPr>
      </w:pPr>
      <w:r>
        <w:rPr>
          <w:rFonts w:hint="eastAsia" w:ascii="宋体" w:hAnsi="宋体" w:eastAsia="宋体" w:cs="宋体"/>
          <w:kern w:val="0"/>
          <w:sz w:val="24"/>
          <w:szCs w:val="24"/>
        </w:rPr>
        <w:t>（4）中标候选人排列规则顺序如下：</w:t>
      </w:r>
    </w:p>
    <w:p w14:paraId="7F73BA3F">
      <w:pPr>
        <w:widowControl/>
        <w:spacing w:after="150"/>
        <w:ind w:firstLine="480"/>
        <w:jc w:val="left"/>
        <w:rPr>
          <w:rFonts w:ascii="宋体" w:hAnsi="宋体" w:eastAsia="宋体" w:cs="宋体"/>
          <w:kern w:val="0"/>
          <w:sz w:val="24"/>
          <w:szCs w:val="24"/>
        </w:rPr>
      </w:pPr>
      <w:r>
        <w:rPr>
          <w:rFonts w:hint="eastAsia" w:ascii="宋体" w:hAnsi="宋体" w:eastAsia="宋体" w:cs="宋体"/>
          <w:kern w:val="0"/>
          <w:sz w:val="24"/>
          <w:szCs w:val="24"/>
        </w:rPr>
        <w:t>a.按照评标总得分（</w:t>
      </w:r>
      <w:r>
        <w:rPr>
          <w:rFonts w:ascii="Calibri" w:hAnsi="Calibri" w:eastAsia="宋体" w:cs="Calibri"/>
          <w:kern w:val="0"/>
          <w:sz w:val="24"/>
          <w:szCs w:val="24"/>
        </w:rPr>
        <w:t>FA</w:t>
      </w:r>
      <w:r>
        <w:rPr>
          <w:rFonts w:hint="eastAsia" w:ascii="宋体" w:hAnsi="宋体" w:eastAsia="宋体" w:cs="宋体"/>
          <w:kern w:val="0"/>
          <w:sz w:val="24"/>
          <w:szCs w:val="24"/>
        </w:rPr>
        <w:t>）由高到低顺序排列。</w:t>
      </w:r>
    </w:p>
    <w:p w14:paraId="4632D471">
      <w:pPr>
        <w:widowControl/>
        <w:spacing w:after="150"/>
        <w:ind w:firstLine="480"/>
        <w:jc w:val="left"/>
        <w:rPr>
          <w:rFonts w:ascii="宋体" w:hAnsi="宋体" w:eastAsia="宋体" w:cs="宋体"/>
          <w:kern w:val="0"/>
          <w:sz w:val="24"/>
          <w:szCs w:val="24"/>
        </w:rPr>
      </w:pPr>
      <w:r>
        <w:rPr>
          <w:rFonts w:hint="eastAsia" w:ascii="宋体" w:hAnsi="宋体" w:eastAsia="宋体" w:cs="宋体"/>
          <w:kern w:val="0"/>
          <w:sz w:val="24"/>
          <w:szCs w:val="24"/>
        </w:rPr>
        <w:t>b.评标总得分（</w:t>
      </w:r>
      <w:r>
        <w:rPr>
          <w:rFonts w:ascii="Calibri" w:hAnsi="Calibri" w:eastAsia="宋体" w:cs="Calibri"/>
          <w:kern w:val="0"/>
          <w:sz w:val="24"/>
          <w:szCs w:val="24"/>
        </w:rPr>
        <w:t>FA</w:t>
      </w:r>
      <w:r>
        <w:rPr>
          <w:rFonts w:hint="eastAsia" w:ascii="宋体" w:hAnsi="宋体" w:eastAsia="宋体" w:cs="宋体"/>
          <w:kern w:val="0"/>
          <w:sz w:val="24"/>
          <w:szCs w:val="24"/>
        </w:rPr>
        <w:t>）相同的，按照评标价（即价格扣除后的投标报价）由低到高顺序排列。</w:t>
      </w:r>
    </w:p>
    <w:p w14:paraId="17587CB2">
      <w:pPr>
        <w:widowControl/>
        <w:spacing w:after="150"/>
        <w:ind w:firstLine="480"/>
        <w:jc w:val="left"/>
        <w:rPr>
          <w:rFonts w:ascii="宋体" w:hAnsi="宋体" w:eastAsia="宋体" w:cs="宋体"/>
          <w:kern w:val="0"/>
          <w:sz w:val="24"/>
          <w:szCs w:val="24"/>
        </w:rPr>
      </w:pPr>
      <w:r>
        <w:rPr>
          <w:rFonts w:hint="eastAsia" w:ascii="宋体" w:hAnsi="宋体" w:eastAsia="宋体" w:cs="宋体"/>
          <w:kern w:val="0"/>
          <w:sz w:val="24"/>
          <w:szCs w:val="24"/>
        </w:rPr>
        <w:t>c.评标总得分（</w:t>
      </w:r>
      <w:r>
        <w:rPr>
          <w:rFonts w:ascii="Calibri" w:hAnsi="Calibri" w:eastAsia="宋体" w:cs="Calibri"/>
          <w:kern w:val="0"/>
          <w:sz w:val="24"/>
          <w:szCs w:val="24"/>
        </w:rPr>
        <w:t>FA</w:t>
      </w:r>
      <w:r>
        <w:rPr>
          <w:rFonts w:hint="eastAsia" w:ascii="宋体" w:hAnsi="宋体" w:eastAsia="宋体" w:cs="宋体"/>
          <w:kern w:val="0"/>
          <w:sz w:val="24"/>
          <w:szCs w:val="24"/>
        </w:rPr>
        <w:t>）且评标价（即价格扣除后的投标报价）相同的并列。</w:t>
      </w:r>
    </w:p>
    <w:p w14:paraId="2467CD13">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8、其他规定</w:t>
      </w:r>
    </w:p>
    <w:p w14:paraId="470A6F97">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8.1评标应全程保密且不得透露给任一投标人或与评标工作无关的人员。</w:t>
      </w:r>
    </w:p>
    <w:p w14:paraId="26EB09CE">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8.2评标将进行全程实时录音录像，录音录像资料随采购文件一并存档。</w:t>
      </w:r>
    </w:p>
    <w:p w14:paraId="6BE9C52C">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8.3若投标人有任何试图干扰具体评标事务，影响评标委员会独立履行职责的行为，其投标无效且不予退还投标保证金。情节严重的，由财政部门列入不良行为记录。</w:t>
      </w:r>
    </w:p>
    <w:p w14:paraId="7E2DAF9C">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8.4其他：</w:t>
      </w:r>
      <w:r>
        <w:rPr>
          <w:rFonts w:ascii="宋体" w:hAnsi="宋体" w:eastAsia="宋体" w:cs="宋体"/>
          <w:kern w:val="0"/>
          <w:sz w:val="24"/>
          <w:szCs w:val="24"/>
        </w:rPr>
        <w:t>无。</w:t>
      </w:r>
    </w:p>
    <w:p w14:paraId="4939B509">
      <w:pPr>
        <w:rPr>
          <w:rFonts w:ascii="宋体" w:hAnsi="宋体" w:eastAsia="宋体" w:cs="宋体"/>
          <w:b/>
          <w:bCs/>
          <w:kern w:val="0"/>
          <w:sz w:val="32"/>
          <w:szCs w:val="32"/>
        </w:rPr>
      </w:pPr>
      <w:r>
        <w:rPr>
          <w:rFonts w:hint="eastAsia" w:ascii="宋体" w:hAnsi="宋体" w:eastAsia="宋体" w:cs="宋体"/>
          <w:b/>
          <w:bCs/>
          <w:kern w:val="0"/>
          <w:sz w:val="32"/>
          <w:szCs w:val="32"/>
        </w:rPr>
        <w:br w:type="page"/>
      </w:r>
    </w:p>
    <w:p w14:paraId="5B9EFAB0">
      <w:pPr>
        <w:widowControl/>
        <w:spacing w:before="75" w:after="75"/>
        <w:jc w:val="center"/>
        <w:rPr>
          <w:rFonts w:ascii="宋体" w:hAnsi="宋体" w:eastAsia="宋体" w:cs="宋体"/>
          <w:kern w:val="0"/>
          <w:sz w:val="24"/>
          <w:szCs w:val="24"/>
        </w:rPr>
      </w:pPr>
      <w:r>
        <w:rPr>
          <w:rFonts w:hint="eastAsia" w:ascii="宋体" w:hAnsi="宋体" w:eastAsia="宋体" w:cs="宋体"/>
          <w:b/>
          <w:bCs/>
          <w:kern w:val="0"/>
          <w:sz w:val="32"/>
          <w:szCs w:val="32"/>
        </w:rPr>
        <w:t>第五章</w:t>
      </w:r>
      <w:r>
        <w:rPr>
          <w:rFonts w:ascii="宋体" w:hAnsi="宋体" w:eastAsia="宋体" w:cs="宋体"/>
          <w:b/>
          <w:bCs/>
          <w:kern w:val="0"/>
          <w:sz w:val="32"/>
          <w:szCs w:val="32"/>
        </w:rPr>
        <w:t>   </w:t>
      </w:r>
      <w:r>
        <w:rPr>
          <w:rFonts w:hint="eastAsia" w:ascii="宋体" w:hAnsi="宋体" w:eastAsia="宋体" w:cs="宋体"/>
          <w:b/>
          <w:bCs/>
          <w:kern w:val="0"/>
          <w:sz w:val="32"/>
          <w:szCs w:val="32"/>
        </w:rPr>
        <w:t>招标内容及要求</w:t>
      </w:r>
    </w:p>
    <w:p w14:paraId="2DC840ED">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一、项目概况（采购标的）</w:t>
      </w:r>
    </w:p>
    <w:p w14:paraId="77BC66CF">
      <w:pPr>
        <w:widowControl/>
        <w:spacing w:before="300" w:after="150"/>
        <w:jc w:val="left"/>
        <w:rPr>
          <w:rFonts w:ascii="宋体" w:hAnsi="宋体" w:eastAsia="宋体" w:cs="宋体"/>
          <w:kern w:val="0"/>
          <w:sz w:val="24"/>
          <w:szCs w:val="24"/>
        </w:rPr>
      </w:pPr>
      <w:r>
        <w:rPr>
          <w:rFonts w:hint="eastAsia" w:ascii="宋体" w:hAnsi="宋体" w:eastAsia="宋体" w:cs="宋体"/>
          <w:b/>
          <w:bCs/>
          <w:kern w:val="0"/>
          <w:sz w:val="36"/>
          <w:szCs w:val="36"/>
        </w:rPr>
        <w:t>1.1项目建设目标</w:t>
      </w:r>
    </w:p>
    <w:p w14:paraId="1E137F20">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以习近平新时代中国特色社会主义思想为指导，贯彻落实党中央、国务院“放管服”政策和“互联网+政务服务”的决策部署，按照省政府赋予的医疗保障工作职责方针，面向医疗保障的全领域和全部环节，将坚持新发展理念并持续推进福建省医疗保障标准化、智能化和信息化。</w:t>
      </w:r>
    </w:p>
    <w:p w14:paraId="57160568">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依照国家医疗保障局(以下简称国家局)医疗保障信息化建设总体部署和国家局《关于医疗保障信息化工作的指导意见》（医保发〔2019〕1号）、《关于开展医疗保障信息化建设试点工作的通知》（医保发〔2019〕22号）要求，积极融入医疗保障信息化全国"一盘棋"格局，本项目按照标准全国统一、数据两级集中、平台分级部署、网络全面覆盖的全国医疗保障信息化建设总体原则，依托省 级平台与国家平台之间的协作联通，旨在初步实现便捷可及“大服务”、规范高效“大经办”、智能精准“大治理”、融合共享“大协作”、在线可用“大数据”、安全可靠“大支撑”的医疗保障信息化建设目标，高标准建成全国统一、互联互通的医疗保障信息平台的省 级组成部分之一。</w:t>
      </w:r>
    </w:p>
    <w:p w14:paraId="464F3749">
      <w:pPr>
        <w:widowControl/>
        <w:spacing w:before="300" w:after="150"/>
        <w:jc w:val="left"/>
        <w:rPr>
          <w:rFonts w:ascii="宋体" w:hAnsi="宋体" w:eastAsia="宋体" w:cs="宋体"/>
          <w:kern w:val="0"/>
          <w:sz w:val="24"/>
          <w:szCs w:val="24"/>
        </w:rPr>
      </w:pPr>
      <w:r>
        <w:rPr>
          <w:rFonts w:hint="eastAsia" w:ascii="宋体" w:hAnsi="宋体" w:eastAsia="宋体" w:cs="宋体"/>
          <w:b/>
          <w:bCs/>
          <w:kern w:val="0"/>
          <w:sz w:val="36"/>
          <w:szCs w:val="36"/>
        </w:rPr>
        <w:t>1.2项目现状</w:t>
      </w:r>
    </w:p>
    <w:p w14:paraId="7FA43FE5">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福建省医疗保障信息平台核心业务区云集成项目（一期）主要建设内容：建设两个数据中心（数据中心A和数据中心B）,数据中心A与数据中心B为生产区。</w:t>
      </w:r>
    </w:p>
    <w:p w14:paraId="267CB6CF">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福建省医疗保障信息平台核心业务区云集成项目（一期）核心区，系连接各级医疗保障部门的新型网络系统，是国家医疗保障信息系统的运行基础，是各级医疗保障部门开展业务工作及内部办公管理工作的重要支撑。核心服务区应用存储采用分布式块存储进行建设，建设包括数据库区、应用区、大数据区、测试区、CA认证区和分布式存储区等等，主要包含：云操作系统平台软件、分布式数据库、私有云数据库、数据库服务-DRDS标准版、分布式存储软件等以及配套硬件。</w:t>
      </w:r>
    </w:p>
    <w:p w14:paraId="5A032E89">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根据《医疗保障信息平台云计算平台规范》，省 级医保云平台应依据医保云计算平台总体架构，建立省 级多数据中心，并行运行，互为容灾，来进行生产维护、日常操作等工作。总体架构核心经办数据库等核心生产库也需要部署在分布式数据库上，因此原规划数据库硬件资源无法满足全省上线的需求，需要在一期建设基础上对数据库硬件及配套软件进行扩容。</w:t>
      </w:r>
    </w:p>
    <w:p w14:paraId="212B1256">
      <w:pPr>
        <w:widowControl/>
        <w:spacing w:before="300" w:after="150"/>
        <w:jc w:val="left"/>
        <w:rPr>
          <w:rFonts w:ascii="宋体" w:hAnsi="宋体" w:eastAsia="宋体" w:cs="宋体"/>
          <w:kern w:val="0"/>
          <w:sz w:val="24"/>
          <w:szCs w:val="24"/>
        </w:rPr>
      </w:pPr>
      <w:r>
        <w:rPr>
          <w:rFonts w:hint="eastAsia" w:ascii="宋体" w:hAnsi="宋体" w:eastAsia="宋体" w:cs="宋体"/>
          <w:b/>
          <w:bCs/>
          <w:kern w:val="0"/>
          <w:sz w:val="36"/>
          <w:szCs w:val="36"/>
        </w:rPr>
        <w:t>1.3项目建设内容</w:t>
      </w:r>
    </w:p>
    <w:p w14:paraId="31B9413A">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福建省按照国家局《医疗保障信息平台建设指南》以及国家局最新部署要求，结合福建省医疗保障信息平台建设目标，同时为满足国家局建设要求和验收、福建省电子政务要求以及当前医保工作一期建设需要，依托数字福建云计算中心，按照国家医疗保障信息平台统一规划和建设标准，开展全省医疗保障标准规范体系建设、应用系统建设、部署国家业务中台应用、全省数据资源中心建设和数据迁移、省 级基础设施建设、安全体系和运维体系建设等内容，为全省医疗保障信息平台运行提供基础支撑。同时为满足国家局建设要求和验收标准、福建省医保的医改探索及创新需求，结合一期实际建设情况，在核心业务区的技术架构及基础设施资源两方面进行优化调整。</w:t>
      </w:r>
    </w:p>
    <w:p w14:paraId="71B3F97A">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b/>
          <w:bCs/>
          <w:kern w:val="0"/>
          <w:sz w:val="24"/>
          <w:szCs w:val="24"/>
        </w:rPr>
        <w:t>1）技术架构</w:t>
      </w:r>
    </w:p>
    <w:p w14:paraId="4CABF025">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根据国家局下发《地方医疗保障信息平台验收指南》（医保网信办﹝2021﹞13号）的验收要求“分布式数据库需分业务多集群部署，每个集群部署在独立的计算资源上”，与前期可研设 计和招标实施的单集群技术架构不一致。单集群技术架构基于资源利用效率的最大化，多集群技术架构基于避免业务出现矛盾，技术不兼容等情况。按照国家局的相关文件要求，并参 考其他省份的建设经验以及福建省本地特色，福建省医疗保障信息平台需要按分业务多集群部署，因此本期需要相应扩展多个集群。</w:t>
      </w:r>
    </w:p>
    <w:p w14:paraId="155E5CE4">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b/>
          <w:bCs/>
          <w:kern w:val="0"/>
          <w:sz w:val="24"/>
          <w:szCs w:val="24"/>
        </w:rPr>
        <w:t>2）基础设施资源</w:t>
      </w:r>
    </w:p>
    <w:p w14:paraId="69C226ED">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在国家局下发《YB-XJ-A01-2019医疗保障信息平台云计算平台规范V1.0》的标准规范之前，福建省医疗保障信息平台已按照初步设 计完成采购，并开展实施建设。对标《YB-XJ-A01-2019医疗保障信息平台云计算平台规范V1.0》的标准规范和《地方医疗保障信息平台验收指南》（医保网信办﹝2021﹞13号）的验收要求“云平台资源使用的CPU、内存和存储资源在30日内平均资源使用率不得高于50%，能满足未来3至5年的业务发展和管理需求”，结合技术架构调整要求，因此本期需要对现有的基础设施资源进行增补。</w:t>
      </w:r>
    </w:p>
    <w:p w14:paraId="67FE1F5F">
      <w:pPr>
        <w:widowControl/>
        <w:spacing w:after="150"/>
        <w:jc w:val="left"/>
        <w:rPr>
          <w:rFonts w:ascii="宋体" w:hAnsi="宋体" w:eastAsia="宋体" w:cs="宋体"/>
          <w:kern w:val="0"/>
          <w:sz w:val="24"/>
          <w:szCs w:val="24"/>
        </w:rPr>
      </w:pPr>
    </w:p>
    <w:p w14:paraId="7053FA2D">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二、技术和服务要求</w:t>
      </w:r>
      <w:r>
        <w:rPr>
          <w:rFonts w:hint="eastAsia" w:ascii="宋体" w:hAnsi="宋体" w:eastAsia="宋体" w:cs="宋体"/>
          <w:b/>
          <w:bCs/>
          <w:kern w:val="0"/>
          <w:sz w:val="24"/>
          <w:szCs w:val="24"/>
        </w:rPr>
        <w:t>（以“★”标示的内容为不允许负偏离的实质性要求）</w:t>
      </w:r>
    </w:p>
    <w:p w14:paraId="76635FE2">
      <w:pPr>
        <w:widowControl/>
        <w:spacing w:after="150"/>
        <w:jc w:val="left"/>
        <w:rPr>
          <w:rFonts w:ascii="宋体" w:hAnsi="宋体" w:eastAsia="宋体" w:cs="宋体"/>
          <w:kern w:val="0"/>
          <w:sz w:val="24"/>
          <w:szCs w:val="24"/>
        </w:rPr>
      </w:pPr>
      <w:r>
        <w:rPr>
          <w:rFonts w:hint="eastAsia" w:ascii="宋体" w:hAnsi="宋体" w:eastAsia="宋体" w:cs="宋体"/>
          <w:kern w:val="0"/>
          <w:sz w:val="24"/>
          <w:szCs w:val="24"/>
        </w:rPr>
        <w:t>投标人应在投标文件中对技术和服务要求全部响应。投标文件在满足招标文件实质性要求的基础上，可以提出比采购文件要求更有利于招标人的承诺。未进行相应响应或承诺的视为无效投标。</w:t>
      </w:r>
    </w:p>
    <w:p w14:paraId="5496DBEE">
      <w:pPr>
        <w:widowControl/>
        <w:spacing w:before="300" w:after="150"/>
        <w:jc w:val="left"/>
        <w:rPr>
          <w:rFonts w:ascii="宋体" w:hAnsi="宋体" w:eastAsia="宋体" w:cs="宋体"/>
          <w:kern w:val="0"/>
          <w:sz w:val="24"/>
          <w:szCs w:val="24"/>
        </w:rPr>
      </w:pPr>
      <w:r>
        <w:rPr>
          <w:rFonts w:hint="eastAsia" w:ascii="宋体" w:hAnsi="宋体" w:eastAsia="宋体" w:cs="宋体"/>
          <w:kern w:val="0"/>
          <w:sz w:val="24"/>
          <w:szCs w:val="24"/>
        </w:rPr>
        <w:t>1.1  ★招标货物清单</w:t>
      </w:r>
    </w:p>
    <w:tbl>
      <w:tblPr>
        <w:tblStyle w:val="9"/>
        <w:tblW w:w="9638" w:type="dxa"/>
        <w:jc w:val="center"/>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
      <w:tblGrid>
        <w:gridCol w:w="1309"/>
        <w:gridCol w:w="3805"/>
        <w:gridCol w:w="886"/>
        <w:gridCol w:w="3638"/>
      </w:tblGrid>
      <w:tr w14:paraId="6BE429B4">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300" w:hRule="atLeast"/>
          <w:jc w:val="center"/>
        </w:trPr>
        <w:tc>
          <w:tcPr>
            <w:tcW w:w="1023" w:type="dxa"/>
            <w:tcBorders>
              <w:top w:val="single" w:color="auto" w:sz="6" w:space="0"/>
              <w:left w:val="single" w:color="auto" w:sz="6" w:space="0"/>
              <w:bottom w:val="single" w:color="auto" w:sz="6" w:space="0"/>
              <w:right w:val="single" w:color="auto" w:sz="6" w:space="0"/>
            </w:tcBorders>
            <w:shd w:val="clear" w:color="auto" w:fill="B4C6E7"/>
            <w:tcMar>
              <w:top w:w="0" w:type="dxa"/>
              <w:left w:w="105" w:type="dxa"/>
              <w:bottom w:w="0" w:type="dxa"/>
              <w:right w:w="105" w:type="dxa"/>
            </w:tcMar>
            <w:vAlign w:val="center"/>
          </w:tcPr>
          <w:p w14:paraId="61052F9D">
            <w:pPr>
              <w:widowControl/>
              <w:spacing w:after="150"/>
              <w:jc w:val="center"/>
              <w:rPr>
                <w:rFonts w:ascii="宋体" w:hAnsi="宋体" w:eastAsia="宋体" w:cs="宋体"/>
                <w:kern w:val="0"/>
                <w:sz w:val="24"/>
                <w:szCs w:val="24"/>
              </w:rPr>
            </w:pPr>
            <w:r>
              <w:rPr>
                <w:rFonts w:hint="eastAsia" w:ascii="宋体" w:hAnsi="宋体" w:eastAsia="宋体" w:cs="宋体"/>
                <w:b/>
                <w:bCs/>
                <w:color w:val="000000"/>
                <w:kern w:val="0"/>
                <w:sz w:val="24"/>
                <w:szCs w:val="24"/>
              </w:rPr>
              <w:t>z</w:t>
            </w:r>
          </w:p>
        </w:tc>
        <w:tc>
          <w:tcPr>
            <w:tcW w:w="2972" w:type="dxa"/>
            <w:tcBorders>
              <w:top w:val="single" w:color="auto" w:sz="6" w:space="0"/>
              <w:left w:val="nil"/>
              <w:bottom w:val="single" w:color="auto" w:sz="6" w:space="0"/>
              <w:right w:val="single" w:color="auto" w:sz="6" w:space="0"/>
            </w:tcBorders>
            <w:shd w:val="clear" w:color="auto" w:fill="B4C6E7"/>
            <w:tcMar>
              <w:top w:w="0" w:type="dxa"/>
              <w:left w:w="105" w:type="dxa"/>
              <w:bottom w:w="0" w:type="dxa"/>
              <w:right w:w="105" w:type="dxa"/>
            </w:tcMar>
            <w:vAlign w:val="center"/>
          </w:tcPr>
          <w:p w14:paraId="3BE46519">
            <w:pPr>
              <w:widowControl/>
              <w:spacing w:after="150"/>
              <w:jc w:val="center"/>
              <w:rPr>
                <w:rFonts w:ascii="宋体" w:hAnsi="宋体" w:eastAsia="宋体" w:cs="宋体"/>
                <w:kern w:val="0"/>
                <w:sz w:val="24"/>
                <w:szCs w:val="24"/>
              </w:rPr>
            </w:pPr>
            <w:r>
              <w:rPr>
                <w:rFonts w:hint="eastAsia" w:ascii="宋体" w:hAnsi="宋体" w:eastAsia="宋体" w:cs="宋体"/>
                <w:b/>
                <w:bCs/>
                <w:color w:val="000000"/>
                <w:kern w:val="0"/>
                <w:sz w:val="24"/>
                <w:szCs w:val="24"/>
              </w:rPr>
              <w:t>名 称</w:t>
            </w:r>
          </w:p>
        </w:tc>
        <w:tc>
          <w:tcPr>
            <w:tcW w:w="692" w:type="dxa"/>
            <w:tcBorders>
              <w:top w:val="single" w:color="auto" w:sz="6" w:space="0"/>
              <w:left w:val="nil"/>
              <w:bottom w:val="single" w:color="auto" w:sz="6" w:space="0"/>
              <w:right w:val="single" w:color="auto" w:sz="6" w:space="0"/>
            </w:tcBorders>
            <w:shd w:val="clear" w:color="auto" w:fill="B4C6E7"/>
            <w:tcMar>
              <w:top w:w="0" w:type="dxa"/>
              <w:left w:w="105" w:type="dxa"/>
              <w:bottom w:w="0" w:type="dxa"/>
              <w:right w:w="105" w:type="dxa"/>
            </w:tcMar>
            <w:vAlign w:val="center"/>
          </w:tcPr>
          <w:p w14:paraId="36E554FF">
            <w:pPr>
              <w:widowControl/>
              <w:spacing w:after="150"/>
              <w:jc w:val="center"/>
              <w:rPr>
                <w:rFonts w:ascii="宋体" w:hAnsi="宋体" w:eastAsia="宋体" w:cs="宋体"/>
                <w:kern w:val="0"/>
                <w:sz w:val="24"/>
                <w:szCs w:val="24"/>
              </w:rPr>
            </w:pPr>
            <w:r>
              <w:rPr>
                <w:rFonts w:hint="eastAsia" w:ascii="宋体" w:hAnsi="宋体" w:eastAsia="宋体" w:cs="宋体"/>
                <w:b/>
                <w:bCs/>
                <w:color w:val="000000"/>
                <w:kern w:val="0"/>
                <w:sz w:val="24"/>
                <w:szCs w:val="24"/>
              </w:rPr>
              <w:t>数量</w:t>
            </w:r>
          </w:p>
        </w:tc>
        <w:tc>
          <w:tcPr>
            <w:tcW w:w="2842" w:type="dxa"/>
            <w:tcBorders>
              <w:top w:val="single" w:color="auto" w:sz="6" w:space="0"/>
              <w:left w:val="nil"/>
              <w:bottom w:val="single" w:color="auto" w:sz="6" w:space="0"/>
              <w:right w:val="single" w:color="auto" w:sz="6" w:space="0"/>
            </w:tcBorders>
            <w:shd w:val="clear" w:color="auto" w:fill="B4C6E7"/>
            <w:tcMar>
              <w:top w:w="0" w:type="dxa"/>
              <w:left w:w="105" w:type="dxa"/>
              <w:bottom w:w="0" w:type="dxa"/>
              <w:right w:w="105" w:type="dxa"/>
            </w:tcMar>
            <w:vAlign w:val="center"/>
          </w:tcPr>
          <w:p w14:paraId="17E97687">
            <w:pPr>
              <w:widowControl/>
              <w:spacing w:after="150"/>
              <w:jc w:val="center"/>
              <w:rPr>
                <w:rFonts w:ascii="宋体" w:hAnsi="宋体" w:eastAsia="宋体" w:cs="宋体"/>
                <w:kern w:val="0"/>
                <w:sz w:val="24"/>
                <w:szCs w:val="24"/>
              </w:rPr>
            </w:pPr>
            <w:r>
              <w:rPr>
                <w:rFonts w:hint="eastAsia" w:ascii="宋体" w:hAnsi="宋体" w:eastAsia="宋体" w:cs="宋体"/>
                <w:b/>
                <w:bCs/>
                <w:color w:val="000000"/>
                <w:kern w:val="0"/>
                <w:sz w:val="24"/>
                <w:szCs w:val="24"/>
              </w:rPr>
              <w:t>单位</w:t>
            </w:r>
          </w:p>
        </w:tc>
      </w:tr>
      <w:tr w14:paraId="409AE10C">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300" w:hRule="atLeast"/>
          <w:jc w:val="center"/>
        </w:trPr>
        <w:tc>
          <w:tcPr>
            <w:tcW w:w="1023" w:type="dxa"/>
            <w:tcBorders>
              <w:top w:val="nil"/>
              <w:left w:val="single" w:color="auto" w:sz="6" w:space="0"/>
              <w:bottom w:val="single" w:color="auto" w:sz="6" w:space="0"/>
              <w:right w:val="single" w:color="auto" w:sz="6" w:space="0"/>
            </w:tcBorders>
            <w:shd w:val="clear" w:color="auto" w:fill="B4C6E7"/>
            <w:tcMar>
              <w:top w:w="0" w:type="dxa"/>
              <w:left w:w="105" w:type="dxa"/>
              <w:bottom w:w="0" w:type="dxa"/>
              <w:right w:w="105" w:type="dxa"/>
            </w:tcMar>
            <w:vAlign w:val="center"/>
          </w:tcPr>
          <w:p w14:paraId="4E2CB6D8">
            <w:pPr>
              <w:widowControl/>
              <w:spacing w:after="150"/>
              <w:jc w:val="center"/>
              <w:rPr>
                <w:rFonts w:ascii="宋体" w:hAnsi="宋体" w:eastAsia="宋体" w:cs="宋体"/>
                <w:kern w:val="0"/>
                <w:sz w:val="24"/>
                <w:szCs w:val="24"/>
              </w:rPr>
            </w:pPr>
            <w:r>
              <w:rPr>
                <w:rFonts w:hint="eastAsia" w:ascii="宋体" w:hAnsi="宋体" w:eastAsia="宋体" w:cs="宋体"/>
                <w:b/>
                <w:bCs/>
                <w:color w:val="000000"/>
                <w:kern w:val="0"/>
                <w:sz w:val="24"/>
                <w:szCs w:val="24"/>
              </w:rPr>
              <w:t>一</w:t>
            </w:r>
          </w:p>
        </w:tc>
        <w:tc>
          <w:tcPr>
            <w:tcW w:w="6506" w:type="dxa"/>
            <w:gridSpan w:val="3"/>
            <w:tcBorders>
              <w:top w:val="nil"/>
              <w:left w:val="nil"/>
              <w:bottom w:val="single" w:color="auto" w:sz="6" w:space="0"/>
              <w:right w:val="single" w:color="auto" w:sz="6" w:space="0"/>
            </w:tcBorders>
            <w:shd w:val="clear" w:color="auto" w:fill="B4C6E7"/>
            <w:tcMar>
              <w:top w:w="0" w:type="dxa"/>
              <w:left w:w="105" w:type="dxa"/>
              <w:bottom w:w="0" w:type="dxa"/>
              <w:right w:w="105" w:type="dxa"/>
            </w:tcMar>
            <w:vAlign w:val="center"/>
          </w:tcPr>
          <w:p w14:paraId="5E8E2C02">
            <w:pPr>
              <w:widowControl/>
              <w:spacing w:after="150"/>
              <w:jc w:val="left"/>
              <w:rPr>
                <w:rFonts w:ascii="宋体" w:hAnsi="宋体" w:eastAsia="宋体" w:cs="宋体"/>
                <w:kern w:val="0"/>
                <w:sz w:val="24"/>
                <w:szCs w:val="24"/>
              </w:rPr>
            </w:pPr>
            <w:r>
              <w:rPr>
                <w:rFonts w:hint="eastAsia" w:ascii="宋体" w:hAnsi="宋体" w:eastAsia="宋体" w:cs="宋体"/>
                <w:b/>
                <w:bCs/>
                <w:color w:val="000000"/>
                <w:kern w:val="0"/>
                <w:sz w:val="24"/>
                <w:szCs w:val="24"/>
              </w:rPr>
              <w:t>A/B核心区设备及软件</w:t>
            </w:r>
          </w:p>
        </w:tc>
      </w:tr>
      <w:tr w14:paraId="6E903E0F">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023"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F7BC484">
            <w:pPr>
              <w:widowControl/>
              <w:spacing w:after="150"/>
              <w:jc w:val="center"/>
              <w:rPr>
                <w:rFonts w:ascii="宋体" w:hAnsi="宋体" w:eastAsia="宋体" w:cs="宋体"/>
                <w:kern w:val="0"/>
                <w:sz w:val="24"/>
                <w:szCs w:val="24"/>
              </w:rPr>
            </w:pPr>
            <w:r>
              <w:rPr>
                <w:rFonts w:hint="eastAsia" w:ascii="宋体" w:hAnsi="宋体" w:eastAsia="宋体" w:cs="宋体"/>
                <w:b/>
                <w:bCs/>
                <w:color w:val="000000"/>
                <w:kern w:val="0"/>
                <w:sz w:val="24"/>
                <w:szCs w:val="24"/>
              </w:rPr>
              <w:t>(一)</w:t>
            </w:r>
          </w:p>
        </w:tc>
        <w:tc>
          <w:tcPr>
            <w:tcW w:w="6506" w:type="dxa"/>
            <w:gridSpan w:val="3"/>
            <w:tcBorders>
              <w:top w:val="nil"/>
              <w:left w:val="nil"/>
              <w:bottom w:val="single" w:color="auto" w:sz="6" w:space="0"/>
              <w:right w:val="single" w:color="000000" w:sz="6" w:space="0"/>
            </w:tcBorders>
            <w:shd w:val="clear" w:color="auto" w:fill="FFFFFF"/>
            <w:tcMar>
              <w:top w:w="0" w:type="dxa"/>
              <w:left w:w="105" w:type="dxa"/>
              <w:bottom w:w="0" w:type="dxa"/>
              <w:right w:w="105" w:type="dxa"/>
            </w:tcMar>
            <w:vAlign w:val="center"/>
          </w:tcPr>
          <w:p w14:paraId="5E69740F">
            <w:pPr>
              <w:widowControl/>
              <w:spacing w:after="150"/>
              <w:jc w:val="left"/>
              <w:rPr>
                <w:rFonts w:ascii="宋体" w:hAnsi="宋体" w:eastAsia="宋体" w:cs="宋体"/>
                <w:kern w:val="0"/>
                <w:sz w:val="24"/>
                <w:szCs w:val="24"/>
              </w:rPr>
            </w:pPr>
            <w:r>
              <w:rPr>
                <w:rFonts w:hint="eastAsia" w:ascii="宋体" w:hAnsi="宋体" w:eastAsia="宋体" w:cs="宋体"/>
                <w:b/>
                <w:bCs/>
                <w:color w:val="000000"/>
                <w:kern w:val="0"/>
                <w:sz w:val="24"/>
                <w:szCs w:val="24"/>
              </w:rPr>
              <w:t>硬件设备</w:t>
            </w:r>
          </w:p>
        </w:tc>
      </w:tr>
      <w:tr w14:paraId="6152FF94">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1023"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4396E34">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1</w:t>
            </w:r>
          </w:p>
        </w:tc>
        <w:tc>
          <w:tcPr>
            <w:tcW w:w="29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1005684">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数据库服务器</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高性能计算节点</w:t>
            </w:r>
          </w:p>
        </w:tc>
        <w:tc>
          <w:tcPr>
            <w:tcW w:w="69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62D71F4">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15</w:t>
            </w:r>
          </w:p>
        </w:tc>
        <w:tc>
          <w:tcPr>
            <w:tcW w:w="284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1A0156F">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台</w:t>
            </w:r>
          </w:p>
        </w:tc>
      </w:tr>
      <w:tr w14:paraId="785C79B4">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1023"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679A247">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2</w:t>
            </w:r>
          </w:p>
        </w:tc>
        <w:tc>
          <w:tcPr>
            <w:tcW w:w="29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59C8DF8">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数据库服务器</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计算节点</w:t>
            </w:r>
          </w:p>
        </w:tc>
        <w:tc>
          <w:tcPr>
            <w:tcW w:w="69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DFAEBCD">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9</w:t>
            </w:r>
          </w:p>
        </w:tc>
        <w:tc>
          <w:tcPr>
            <w:tcW w:w="284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595AC84">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台</w:t>
            </w:r>
          </w:p>
        </w:tc>
      </w:tr>
      <w:tr w14:paraId="0125E759">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1023"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80246C4">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3</w:t>
            </w:r>
          </w:p>
        </w:tc>
        <w:tc>
          <w:tcPr>
            <w:tcW w:w="29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493538E">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数据库服务器</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计算节点</w:t>
            </w:r>
          </w:p>
        </w:tc>
        <w:tc>
          <w:tcPr>
            <w:tcW w:w="69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4170373">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6</w:t>
            </w:r>
          </w:p>
        </w:tc>
        <w:tc>
          <w:tcPr>
            <w:tcW w:w="284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E23062B">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台</w:t>
            </w:r>
          </w:p>
        </w:tc>
      </w:tr>
      <w:tr w14:paraId="0E6596CA">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1023"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7A08633">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4</w:t>
            </w:r>
          </w:p>
        </w:tc>
        <w:tc>
          <w:tcPr>
            <w:tcW w:w="29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4012275">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数据库服务器</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高性能存储节点</w:t>
            </w:r>
          </w:p>
        </w:tc>
        <w:tc>
          <w:tcPr>
            <w:tcW w:w="69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D7DBD71">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54</w:t>
            </w:r>
          </w:p>
        </w:tc>
        <w:tc>
          <w:tcPr>
            <w:tcW w:w="284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CD4AB21">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台</w:t>
            </w:r>
          </w:p>
        </w:tc>
      </w:tr>
      <w:tr w14:paraId="1838136D">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1023"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4465600">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5</w:t>
            </w:r>
          </w:p>
        </w:tc>
        <w:tc>
          <w:tcPr>
            <w:tcW w:w="29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B2E1BC5">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数据库服务器</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存储节点</w:t>
            </w:r>
          </w:p>
        </w:tc>
        <w:tc>
          <w:tcPr>
            <w:tcW w:w="69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965CC42">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56</w:t>
            </w:r>
          </w:p>
        </w:tc>
        <w:tc>
          <w:tcPr>
            <w:tcW w:w="284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1252A31">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台</w:t>
            </w:r>
          </w:p>
        </w:tc>
      </w:tr>
      <w:tr w14:paraId="1E2CD44B">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023"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10B80CD">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6</w:t>
            </w:r>
          </w:p>
        </w:tc>
        <w:tc>
          <w:tcPr>
            <w:tcW w:w="29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99F2367">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云平台业务存储节点</w:t>
            </w:r>
          </w:p>
        </w:tc>
        <w:tc>
          <w:tcPr>
            <w:tcW w:w="69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DA2D6B2">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6</w:t>
            </w:r>
          </w:p>
        </w:tc>
        <w:tc>
          <w:tcPr>
            <w:tcW w:w="284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B06571C">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台</w:t>
            </w:r>
          </w:p>
        </w:tc>
      </w:tr>
      <w:tr w14:paraId="76AC283F">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023"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C2CE0EF">
            <w:pPr>
              <w:widowControl/>
              <w:spacing w:after="150"/>
              <w:jc w:val="center"/>
              <w:rPr>
                <w:rFonts w:ascii="宋体" w:hAnsi="宋体" w:eastAsia="宋体" w:cs="宋体"/>
                <w:kern w:val="0"/>
                <w:sz w:val="24"/>
                <w:szCs w:val="24"/>
              </w:rPr>
            </w:pPr>
            <w:r>
              <w:rPr>
                <w:rFonts w:hint="eastAsia" w:ascii="宋体" w:hAnsi="宋体" w:eastAsia="宋体" w:cs="宋体"/>
                <w:b/>
                <w:bCs/>
                <w:color w:val="000000"/>
                <w:kern w:val="0"/>
                <w:sz w:val="24"/>
                <w:szCs w:val="24"/>
              </w:rPr>
              <w:t>(二)</w:t>
            </w:r>
          </w:p>
        </w:tc>
        <w:tc>
          <w:tcPr>
            <w:tcW w:w="6506" w:type="dxa"/>
            <w:gridSpan w:val="3"/>
            <w:tcBorders>
              <w:top w:val="nil"/>
              <w:left w:val="nil"/>
              <w:bottom w:val="single" w:color="auto" w:sz="6" w:space="0"/>
              <w:right w:val="single" w:color="000000" w:sz="6" w:space="0"/>
            </w:tcBorders>
            <w:shd w:val="clear" w:color="auto" w:fill="FFFFFF"/>
            <w:tcMar>
              <w:top w:w="0" w:type="dxa"/>
              <w:left w:w="105" w:type="dxa"/>
              <w:bottom w:w="0" w:type="dxa"/>
              <w:right w:w="105" w:type="dxa"/>
            </w:tcMar>
            <w:vAlign w:val="center"/>
          </w:tcPr>
          <w:p w14:paraId="6638083C">
            <w:pPr>
              <w:widowControl/>
              <w:spacing w:after="150"/>
              <w:jc w:val="left"/>
              <w:rPr>
                <w:rFonts w:ascii="宋体" w:hAnsi="宋体" w:eastAsia="宋体" w:cs="宋体"/>
                <w:kern w:val="0"/>
                <w:sz w:val="24"/>
                <w:szCs w:val="24"/>
              </w:rPr>
            </w:pPr>
            <w:r>
              <w:rPr>
                <w:rFonts w:hint="eastAsia" w:ascii="宋体" w:hAnsi="宋体" w:eastAsia="宋体" w:cs="宋体"/>
                <w:b/>
                <w:bCs/>
                <w:color w:val="000000"/>
                <w:kern w:val="0"/>
                <w:sz w:val="24"/>
                <w:szCs w:val="24"/>
              </w:rPr>
              <w:t>硬件设备配件</w:t>
            </w:r>
          </w:p>
        </w:tc>
      </w:tr>
      <w:tr w14:paraId="7B87C6FA">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023"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8C1CB1A">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1</w:t>
            </w:r>
          </w:p>
        </w:tc>
        <w:tc>
          <w:tcPr>
            <w:tcW w:w="29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53DE513">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集群硬盘增补</w:t>
            </w:r>
          </w:p>
        </w:tc>
        <w:tc>
          <w:tcPr>
            <w:tcW w:w="69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8D7BA1D">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144</w:t>
            </w:r>
          </w:p>
        </w:tc>
        <w:tc>
          <w:tcPr>
            <w:tcW w:w="284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1C81039">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块</w:t>
            </w:r>
          </w:p>
        </w:tc>
      </w:tr>
      <w:tr w14:paraId="0E7EA95F">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1023"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9CA1C11">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2</w:t>
            </w:r>
          </w:p>
        </w:tc>
        <w:tc>
          <w:tcPr>
            <w:tcW w:w="29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4B3F603">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应用服务器</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内存增补</w:t>
            </w:r>
          </w:p>
        </w:tc>
        <w:tc>
          <w:tcPr>
            <w:tcW w:w="69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A0E5096">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300</w:t>
            </w:r>
          </w:p>
        </w:tc>
        <w:tc>
          <w:tcPr>
            <w:tcW w:w="284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E1B7B82">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条</w:t>
            </w:r>
          </w:p>
        </w:tc>
      </w:tr>
      <w:tr w14:paraId="47764A20">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1023"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E543BFD">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3</w:t>
            </w:r>
          </w:p>
        </w:tc>
        <w:tc>
          <w:tcPr>
            <w:tcW w:w="29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975178C">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安全服务器</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硬盘增补</w:t>
            </w:r>
          </w:p>
        </w:tc>
        <w:tc>
          <w:tcPr>
            <w:tcW w:w="69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68EED58">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24</w:t>
            </w:r>
          </w:p>
        </w:tc>
        <w:tc>
          <w:tcPr>
            <w:tcW w:w="284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FCE412E">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块</w:t>
            </w:r>
          </w:p>
        </w:tc>
      </w:tr>
      <w:tr w14:paraId="2D23C223">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023"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B10DE02">
            <w:pPr>
              <w:widowControl/>
              <w:spacing w:after="150"/>
              <w:jc w:val="center"/>
              <w:rPr>
                <w:rFonts w:ascii="宋体" w:hAnsi="宋体" w:eastAsia="宋体" w:cs="宋体"/>
                <w:kern w:val="0"/>
                <w:sz w:val="24"/>
                <w:szCs w:val="24"/>
              </w:rPr>
            </w:pPr>
            <w:r>
              <w:rPr>
                <w:rFonts w:hint="eastAsia" w:ascii="宋体" w:hAnsi="宋体" w:eastAsia="宋体" w:cs="宋体"/>
                <w:b/>
                <w:bCs/>
                <w:color w:val="000000"/>
                <w:kern w:val="0"/>
                <w:sz w:val="24"/>
                <w:szCs w:val="24"/>
              </w:rPr>
              <w:t>（三）</w:t>
            </w:r>
          </w:p>
        </w:tc>
        <w:tc>
          <w:tcPr>
            <w:tcW w:w="6506" w:type="dxa"/>
            <w:gridSpan w:val="3"/>
            <w:tcBorders>
              <w:top w:val="nil"/>
              <w:left w:val="nil"/>
              <w:bottom w:val="single" w:color="auto" w:sz="6" w:space="0"/>
              <w:right w:val="single" w:color="000000" w:sz="6" w:space="0"/>
            </w:tcBorders>
            <w:shd w:val="clear" w:color="auto" w:fill="FFFFFF"/>
            <w:tcMar>
              <w:top w:w="0" w:type="dxa"/>
              <w:left w:w="105" w:type="dxa"/>
              <w:bottom w:w="0" w:type="dxa"/>
              <w:right w:w="105" w:type="dxa"/>
            </w:tcMar>
            <w:vAlign w:val="center"/>
          </w:tcPr>
          <w:p w14:paraId="41A61743">
            <w:pPr>
              <w:widowControl/>
              <w:spacing w:after="150"/>
              <w:jc w:val="left"/>
              <w:rPr>
                <w:rFonts w:ascii="宋体" w:hAnsi="宋体" w:eastAsia="宋体" w:cs="宋体"/>
                <w:kern w:val="0"/>
                <w:sz w:val="24"/>
                <w:szCs w:val="24"/>
              </w:rPr>
            </w:pPr>
            <w:r>
              <w:rPr>
                <w:rFonts w:hint="eastAsia" w:ascii="宋体" w:hAnsi="宋体" w:eastAsia="宋体" w:cs="宋体"/>
                <w:b/>
                <w:bCs/>
                <w:color w:val="000000"/>
                <w:kern w:val="0"/>
                <w:sz w:val="24"/>
                <w:szCs w:val="24"/>
              </w:rPr>
              <w:t>网络设备</w:t>
            </w:r>
          </w:p>
        </w:tc>
      </w:tr>
      <w:tr w14:paraId="1662741B">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023"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39AF524">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1</w:t>
            </w:r>
          </w:p>
        </w:tc>
        <w:tc>
          <w:tcPr>
            <w:tcW w:w="29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4D5FE04">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服务器接入交换机</w:t>
            </w:r>
          </w:p>
        </w:tc>
        <w:tc>
          <w:tcPr>
            <w:tcW w:w="69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F93C352">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26</w:t>
            </w:r>
          </w:p>
        </w:tc>
        <w:tc>
          <w:tcPr>
            <w:tcW w:w="284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05710B7">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台</w:t>
            </w:r>
          </w:p>
        </w:tc>
      </w:tr>
      <w:tr w14:paraId="30D93FB3">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023"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4B76612">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2</w:t>
            </w:r>
          </w:p>
        </w:tc>
        <w:tc>
          <w:tcPr>
            <w:tcW w:w="29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591A8D9">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带外管理交换机</w:t>
            </w:r>
          </w:p>
        </w:tc>
        <w:tc>
          <w:tcPr>
            <w:tcW w:w="69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77D9F5A">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18</w:t>
            </w:r>
          </w:p>
        </w:tc>
        <w:tc>
          <w:tcPr>
            <w:tcW w:w="284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0F8F3EE">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台</w:t>
            </w:r>
          </w:p>
        </w:tc>
      </w:tr>
      <w:tr w14:paraId="37D3B805">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1023"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55E1C35">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3</w:t>
            </w:r>
          </w:p>
        </w:tc>
        <w:tc>
          <w:tcPr>
            <w:tcW w:w="29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59AAED8">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内外网数据交换区</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交换机</w:t>
            </w:r>
          </w:p>
        </w:tc>
        <w:tc>
          <w:tcPr>
            <w:tcW w:w="69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BB01B94">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2</w:t>
            </w:r>
          </w:p>
        </w:tc>
        <w:tc>
          <w:tcPr>
            <w:tcW w:w="284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D380289">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台</w:t>
            </w:r>
          </w:p>
        </w:tc>
      </w:tr>
      <w:tr w14:paraId="41E2585F">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023"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3602ABA">
            <w:pPr>
              <w:widowControl/>
              <w:spacing w:after="150"/>
              <w:jc w:val="center"/>
              <w:rPr>
                <w:rFonts w:ascii="宋体" w:hAnsi="宋体" w:eastAsia="宋体" w:cs="宋体"/>
                <w:kern w:val="0"/>
                <w:sz w:val="24"/>
                <w:szCs w:val="24"/>
              </w:rPr>
            </w:pPr>
            <w:r>
              <w:rPr>
                <w:rFonts w:hint="eastAsia" w:ascii="宋体" w:hAnsi="宋体" w:eastAsia="宋体" w:cs="宋体"/>
                <w:b/>
                <w:bCs/>
                <w:color w:val="000000"/>
                <w:kern w:val="0"/>
                <w:sz w:val="24"/>
                <w:szCs w:val="24"/>
              </w:rPr>
              <w:t>（四）</w:t>
            </w:r>
          </w:p>
        </w:tc>
        <w:tc>
          <w:tcPr>
            <w:tcW w:w="6506" w:type="dxa"/>
            <w:gridSpan w:val="3"/>
            <w:tcBorders>
              <w:top w:val="nil"/>
              <w:left w:val="nil"/>
              <w:bottom w:val="single" w:color="auto" w:sz="6" w:space="0"/>
              <w:right w:val="single" w:color="000000" w:sz="6" w:space="0"/>
            </w:tcBorders>
            <w:shd w:val="clear" w:color="auto" w:fill="FFFFFF"/>
            <w:tcMar>
              <w:top w:w="0" w:type="dxa"/>
              <w:left w:w="105" w:type="dxa"/>
              <w:bottom w:w="0" w:type="dxa"/>
              <w:right w:w="105" w:type="dxa"/>
            </w:tcMar>
            <w:vAlign w:val="center"/>
          </w:tcPr>
          <w:p w14:paraId="3133C5E1">
            <w:pPr>
              <w:widowControl/>
              <w:spacing w:after="150"/>
              <w:jc w:val="left"/>
              <w:rPr>
                <w:rFonts w:ascii="宋体" w:hAnsi="宋体" w:eastAsia="宋体" w:cs="宋体"/>
                <w:kern w:val="0"/>
                <w:sz w:val="24"/>
                <w:szCs w:val="24"/>
              </w:rPr>
            </w:pPr>
            <w:r>
              <w:rPr>
                <w:rFonts w:hint="eastAsia" w:ascii="宋体" w:hAnsi="宋体" w:eastAsia="宋体" w:cs="宋体"/>
                <w:b/>
                <w:bCs/>
                <w:color w:val="000000"/>
                <w:kern w:val="0"/>
                <w:sz w:val="24"/>
                <w:szCs w:val="24"/>
              </w:rPr>
              <w:t>软件授权</w:t>
            </w:r>
          </w:p>
        </w:tc>
      </w:tr>
      <w:tr w14:paraId="3D38ADF0">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1023"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A1707E9">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1</w:t>
            </w:r>
          </w:p>
        </w:tc>
        <w:tc>
          <w:tcPr>
            <w:tcW w:w="29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DFFAA21">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分布式关系型</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数据库授权</w:t>
            </w:r>
          </w:p>
        </w:tc>
        <w:tc>
          <w:tcPr>
            <w:tcW w:w="69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EEAD81C">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2</w:t>
            </w:r>
          </w:p>
        </w:tc>
        <w:tc>
          <w:tcPr>
            <w:tcW w:w="284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0C8B988">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套</w:t>
            </w:r>
          </w:p>
        </w:tc>
      </w:tr>
      <w:tr w14:paraId="0DEBFB8B">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1023"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7DF86BB">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2</w:t>
            </w:r>
          </w:p>
        </w:tc>
        <w:tc>
          <w:tcPr>
            <w:tcW w:w="29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A904688">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分布式文件</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存储授权</w:t>
            </w:r>
          </w:p>
        </w:tc>
        <w:tc>
          <w:tcPr>
            <w:tcW w:w="69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C4A6F5C">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2</w:t>
            </w:r>
          </w:p>
        </w:tc>
        <w:tc>
          <w:tcPr>
            <w:tcW w:w="284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E0B3A76">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套</w:t>
            </w:r>
          </w:p>
        </w:tc>
      </w:tr>
      <w:tr w14:paraId="340260E1">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1023"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BA6F263">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3</w:t>
            </w:r>
          </w:p>
        </w:tc>
        <w:tc>
          <w:tcPr>
            <w:tcW w:w="29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07B8F5B">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分布式对象</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存储授权</w:t>
            </w:r>
          </w:p>
        </w:tc>
        <w:tc>
          <w:tcPr>
            <w:tcW w:w="69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44E3440">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2</w:t>
            </w:r>
          </w:p>
        </w:tc>
        <w:tc>
          <w:tcPr>
            <w:tcW w:w="284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9BF40FD">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套</w:t>
            </w:r>
          </w:p>
        </w:tc>
      </w:tr>
      <w:tr w14:paraId="22BD98BA">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023"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6ABFC20">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4</w:t>
            </w:r>
          </w:p>
        </w:tc>
        <w:tc>
          <w:tcPr>
            <w:tcW w:w="29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18EBC67">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虚拟机操作系统</w:t>
            </w:r>
          </w:p>
        </w:tc>
        <w:tc>
          <w:tcPr>
            <w:tcW w:w="69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B6A0BEF">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300</w:t>
            </w:r>
          </w:p>
        </w:tc>
        <w:tc>
          <w:tcPr>
            <w:tcW w:w="284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B38F7C4">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套</w:t>
            </w:r>
          </w:p>
        </w:tc>
      </w:tr>
    </w:tbl>
    <w:p w14:paraId="4BFFBCDF">
      <w:pPr>
        <w:widowControl/>
        <w:spacing w:after="150"/>
        <w:jc w:val="left"/>
        <w:rPr>
          <w:rFonts w:ascii="宋体" w:hAnsi="宋体" w:eastAsia="宋体" w:cs="宋体"/>
          <w:kern w:val="0"/>
          <w:sz w:val="24"/>
          <w:szCs w:val="24"/>
        </w:rPr>
      </w:pPr>
      <w:r>
        <w:rPr>
          <w:rFonts w:hint="eastAsia" w:ascii="宋体" w:hAnsi="宋体" w:eastAsia="宋体" w:cs="宋体"/>
          <w:kern w:val="0"/>
          <w:sz w:val="24"/>
          <w:szCs w:val="24"/>
        </w:rPr>
        <w:t> </w:t>
      </w:r>
    </w:p>
    <w:p w14:paraId="223DED23">
      <w:pPr>
        <w:widowControl/>
        <w:spacing w:before="300" w:after="150"/>
        <w:jc w:val="left"/>
        <w:rPr>
          <w:rFonts w:ascii="宋体" w:hAnsi="宋体" w:eastAsia="宋体" w:cs="宋体"/>
          <w:kern w:val="0"/>
          <w:sz w:val="24"/>
          <w:szCs w:val="24"/>
        </w:rPr>
      </w:pPr>
      <w:r>
        <w:rPr>
          <w:rFonts w:hint="eastAsia" w:ascii="宋体" w:hAnsi="宋体" w:eastAsia="宋体" w:cs="宋体"/>
          <w:kern w:val="0"/>
          <w:sz w:val="24"/>
          <w:szCs w:val="24"/>
        </w:rPr>
        <w:t>1.2</w:t>
      </w:r>
      <w:r>
        <w:rPr>
          <w:rFonts w:ascii="Times New Roman" w:hAnsi="Times New Roman" w:eastAsia="宋体" w:cs="Times New Roman"/>
          <w:kern w:val="0"/>
          <w:sz w:val="14"/>
          <w:szCs w:val="14"/>
        </w:rPr>
        <w:t>  </w:t>
      </w:r>
      <w:r>
        <w:rPr>
          <w:rFonts w:hint="eastAsia" w:ascii="宋体" w:hAnsi="宋体" w:eastAsia="宋体" w:cs="宋体"/>
          <w:kern w:val="0"/>
          <w:sz w:val="24"/>
          <w:szCs w:val="24"/>
        </w:rPr>
        <w:t>IAAS层</w:t>
      </w:r>
    </w:p>
    <w:p w14:paraId="4A83B38C">
      <w:pPr>
        <w:widowControl/>
        <w:spacing w:before="300" w:after="150"/>
        <w:jc w:val="left"/>
        <w:rPr>
          <w:rFonts w:ascii="宋体" w:hAnsi="宋体" w:eastAsia="宋体" w:cs="宋体"/>
          <w:kern w:val="0"/>
          <w:sz w:val="24"/>
          <w:szCs w:val="24"/>
        </w:rPr>
      </w:pPr>
      <w:r>
        <w:rPr>
          <w:rFonts w:hint="eastAsia" w:ascii="宋体" w:hAnsi="宋体" w:eastAsia="宋体" w:cs="宋体"/>
          <w:kern w:val="0"/>
          <w:sz w:val="24"/>
          <w:szCs w:val="24"/>
        </w:rPr>
        <w:t>1.2.1 云平台硬件设备</w:t>
      </w:r>
    </w:p>
    <w:p w14:paraId="60FDEAE4">
      <w:pPr>
        <w:widowControl/>
        <w:spacing w:after="150" w:line="300" w:lineRule="atLeast"/>
        <w:jc w:val="left"/>
        <w:rPr>
          <w:rFonts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b/>
          <w:bCs/>
          <w:kern w:val="0"/>
          <w:sz w:val="24"/>
          <w:szCs w:val="24"/>
        </w:rPr>
        <w:t>基础规格参数</w:t>
      </w:r>
    </w:p>
    <w:tbl>
      <w:tblPr>
        <w:tblStyle w:val="9"/>
        <w:tblW w:w="9638" w:type="dxa"/>
        <w:jc w:val="center"/>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536"/>
        <w:gridCol w:w="1240"/>
        <w:gridCol w:w="4108"/>
        <w:gridCol w:w="541"/>
        <w:gridCol w:w="1300"/>
        <w:gridCol w:w="1300"/>
        <w:gridCol w:w="613"/>
      </w:tblGrid>
      <w:tr w14:paraId="64B274F6">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5" w:hRule="atLeast"/>
          <w:jc w:val="center"/>
        </w:trPr>
        <w:tc>
          <w:tcPr>
            <w:tcW w:w="0" w:type="auto"/>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75004B3">
            <w:pPr>
              <w:widowControl/>
              <w:spacing w:after="150"/>
              <w:jc w:val="center"/>
              <w:rPr>
                <w:rFonts w:ascii="宋体" w:hAnsi="宋体" w:eastAsia="宋体" w:cs="宋体"/>
                <w:kern w:val="0"/>
                <w:sz w:val="24"/>
                <w:szCs w:val="24"/>
              </w:rPr>
            </w:pPr>
            <w:r>
              <w:rPr>
                <w:rFonts w:hint="eastAsia" w:ascii="宋体" w:hAnsi="宋体" w:eastAsia="宋体" w:cs="宋体"/>
                <w:b/>
                <w:bCs/>
                <w:color w:val="000000"/>
                <w:kern w:val="0"/>
                <w:sz w:val="23"/>
                <w:szCs w:val="23"/>
              </w:rPr>
              <w:t>序号</w:t>
            </w:r>
          </w:p>
        </w:tc>
        <w:tc>
          <w:tcPr>
            <w:tcW w:w="0" w:type="auto"/>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733F6A2">
            <w:pPr>
              <w:widowControl/>
              <w:spacing w:after="150"/>
              <w:jc w:val="center"/>
              <w:rPr>
                <w:rFonts w:ascii="宋体" w:hAnsi="宋体" w:eastAsia="宋体" w:cs="宋体"/>
                <w:kern w:val="0"/>
                <w:sz w:val="24"/>
                <w:szCs w:val="24"/>
              </w:rPr>
            </w:pPr>
            <w:r>
              <w:rPr>
                <w:rFonts w:hint="eastAsia" w:ascii="宋体" w:hAnsi="宋体" w:eastAsia="宋体" w:cs="宋体"/>
                <w:b/>
                <w:bCs/>
                <w:color w:val="000000"/>
                <w:kern w:val="0"/>
                <w:sz w:val="23"/>
                <w:szCs w:val="23"/>
              </w:rPr>
              <w:t>名 称</w:t>
            </w:r>
          </w:p>
        </w:tc>
        <w:tc>
          <w:tcPr>
            <w:tcW w:w="0" w:type="auto"/>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DD151CF">
            <w:pPr>
              <w:widowControl/>
              <w:spacing w:after="150"/>
              <w:jc w:val="center"/>
              <w:rPr>
                <w:rFonts w:ascii="宋体" w:hAnsi="宋体" w:eastAsia="宋体" w:cs="宋体"/>
                <w:kern w:val="0"/>
                <w:sz w:val="24"/>
                <w:szCs w:val="24"/>
              </w:rPr>
            </w:pPr>
            <w:r>
              <w:rPr>
                <w:rFonts w:hint="eastAsia" w:ascii="宋体" w:hAnsi="宋体" w:eastAsia="宋体" w:cs="宋体"/>
                <w:b/>
                <w:bCs/>
                <w:color w:val="000000"/>
                <w:kern w:val="0"/>
                <w:sz w:val="23"/>
                <w:szCs w:val="23"/>
              </w:rPr>
              <w:t>基础规格参数</w:t>
            </w:r>
          </w:p>
        </w:tc>
        <w:tc>
          <w:tcPr>
            <w:tcW w:w="0" w:type="auto"/>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9FED8B0">
            <w:pPr>
              <w:widowControl/>
              <w:spacing w:after="150"/>
              <w:jc w:val="center"/>
              <w:rPr>
                <w:rFonts w:ascii="宋体" w:hAnsi="宋体" w:eastAsia="宋体" w:cs="宋体"/>
                <w:kern w:val="0"/>
                <w:sz w:val="24"/>
                <w:szCs w:val="24"/>
              </w:rPr>
            </w:pPr>
            <w:r>
              <w:rPr>
                <w:rFonts w:hint="eastAsia" w:ascii="宋体" w:hAnsi="宋体" w:eastAsia="宋体" w:cs="宋体"/>
                <w:b/>
                <w:bCs/>
                <w:color w:val="000000"/>
                <w:kern w:val="0"/>
                <w:sz w:val="23"/>
                <w:szCs w:val="23"/>
              </w:rPr>
              <w:t>单位</w:t>
            </w:r>
          </w:p>
        </w:tc>
        <w:tc>
          <w:tcPr>
            <w:tcW w:w="0" w:type="auto"/>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2E8FD01">
            <w:pPr>
              <w:widowControl/>
              <w:spacing w:after="150"/>
              <w:jc w:val="center"/>
              <w:rPr>
                <w:rFonts w:ascii="宋体" w:hAnsi="宋体" w:eastAsia="宋体" w:cs="宋体"/>
                <w:kern w:val="0"/>
                <w:sz w:val="24"/>
                <w:szCs w:val="24"/>
              </w:rPr>
            </w:pPr>
            <w:r>
              <w:rPr>
                <w:rFonts w:hint="eastAsia" w:ascii="宋体" w:hAnsi="宋体" w:eastAsia="宋体" w:cs="宋体"/>
                <w:b/>
                <w:bCs/>
                <w:color w:val="000000"/>
                <w:kern w:val="0"/>
                <w:sz w:val="23"/>
                <w:szCs w:val="23"/>
              </w:rPr>
              <w:t>数据</w:t>
            </w:r>
            <w:r>
              <w:rPr>
                <w:rFonts w:hint="eastAsia" w:ascii="宋体" w:hAnsi="宋体" w:eastAsia="宋体" w:cs="宋体"/>
                <w:b/>
                <w:bCs/>
                <w:color w:val="000000"/>
                <w:kern w:val="0"/>
                <w:sz w:val="23"/>
                <w:szCs w:val="23"/>
              </w:rPr>
              <w:br w:type="textWrapping"/>
            </w:r>
            <w:r>
              <w:rPr>
                <w:rFonts w:hint="eastAsia" w:ascii="宋体" w:hAnsi="宋体" w:eastAsia="宋体" w:cs="宋体"/>
                <w:b/>
                <w:bCs/>
                <w:color w:val="000000"/>
                <w:kern w:val="0"/>
                <w:sz w:val="23"/>
                <w:szCs w:val="23"/>
              </w:rPr>
              <w:t>    中心A</w:t>
            </w:r>
          </w:p>
        </w:tc>
        <w:tc>
          <w:tcPr>
            <w:tcW w:w="0" w:type="auto"/>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824E810">
            <w:pPr>
              <w:widowControl/>
              <w:spacing w:after="150"/>
              <w:jc w:val="center"/>
              <w:rPr>
                <w:rFonts w:ascii="宋体" w:hAnsi="宋体" w:eastAsia="宋体" w:cs="宋体"/>
                <w:kern w:val="0"/>
                <w:sz w:val="24"/>
                <w:szCs w:val="24"/>
              </w:rPr>
            </w:pPr>
            <w:r>
              <w:rPr>
                <w:rFonts w:hint="eastAsia" w:ascii="宋体" w:hAnsi="宋体" w:eastAsia="宋体" w:cs="宋体"/>
                <w:b/>
                <w:bCs/>
                <w:color w:val="000000"/>
                <w:kern w:val="0"/>
                <w:sz w:val="23"/>
                <w:szCs w:val="23"/>
              </w:rPr>
              <w:t>数据</w:t>
            </w:r>
            <w:r>
              <w:rPr>
                <w:rFonts w:hint="eastAsia" w:ascii="宋体" w:hAnsi="宋体" w:eastAsia="宋体" w:cs="宋体"/>
                <w:b/>
                <w:bCs/>
                <w:color w:val="000000"/>
                <w:kern w:val="0"/>
                <w:sz w:val="23"/>
                <w:szCs w:val="23"/>
              </w:rPr>
              <w:br w:type="textWrapping"/>
            </w:r>
            <w:r>
              <w:rPr>
                <w:rFonts w:hint="eastAsia" w:ascii="宋体" w:hAnsi="宋体" w:eastAsia="宋体" w:cs="宋体"/>
                <w:b/>
                <w:bCs/>
                <w:color w:val="000000"/>
                <w:kern w:val="0"/>
                <w:sz w:val="23"/>
                <w:szCs w:val="23"/>
              </w:rPr>
              <w:t>    中心B</w:t>
            </w:r>
          </w:p>
        </w:tc>
        <w:tc>
          <w:tcPr>
            <w:tcW w:w="0" w:type="auto"/>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59CBD8B">
            <w:pPr>
              <w:widowControl/>
              <w:spacing w:after="150"/>
              <w:jc w:val="center"/>
              <w:rPr>
                <w:rFonts w:ascii="宋体" w:hAnsi="宋体" w:eastAsia="宋体" w:cs="宋体"/>
                <w:kern w:val="0"/>
                <w:sz w:val="24"/>
                <w:szCs w:val="24"/>
              </w:rPr>
            </w:pPr>
            <w:r>
              <w:rPr>
                <w:rFonts w:hint="eastAsia" w:ascii="宋体" w:hAnsi="宋体" w:eastAsia="宋体" w:cs="宋体"/>
                <w:b/>
                <w:bCs/>
                <w:color w:val="000000"/>
                <w:kern w:val="0"/>
                <w:sz w:val="23"/>
                <w:szCs w:val="23"/>
              </w:rPr>
              <w:t>合计</w:t>
            </w:r>
          </w:p>
        </w:tc>
      </w:tr>
      <w:tr w14:paraId="0CC9273F">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5" w:hRule="atLeast"/>
          <w:jc w:val="center"/>
        </w:trPr>
        <w:tc>
          <w:tcPr>
            <w:tcW w:w="0" w:type="auto"/>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2F06BC5">
            <w:pPr>
              <w:widowControl/>
              <w:spacing w:after="150"/>
              <w:jc w:val="center"/>
              <w:rPr>
                <w:rFonts w:ascii="宋体" w:hAnsi="宋体" w:eastAsia="宋体" w:cs="宋体"/>
                <w:kern w:val="0"/>
                <w:sz w:val="24"/>
                <w:szCs w:val="24"/>
              </w:rPr>
            </w:pPr>
            <w:r>
              <w:rPr>
                <w:rFonts w:hint="eastAsia" w:ascii="宋体" w:hAnsi="宋体" w:eastAsia="宋体" w:cs="宋体"/>
                <w:b/>
                <w:bCs/>
                <w:color w:val="000000"/>
                <w:kern w:val="0"/>
                <w:sz w:val="23"/>
                <w:szCs w:val="23"/>
              </w:rPr>
              <w:t>一</w:t>
            </w:r>
          </w:p>
        </w:tc>
        <w:tc>
          <w:tcPr>
            <w:tcW w:w="0" w:type="auto"/>
            <w:gridSpan w:val="6"/>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758F313">
            <w:pPr>
              <w:widowControl/>
              <w:spacing w:after="150"/>
              <w:jc w:val="left"/>
              <w:rPr>
                <w:rFonts w:ascii="宋体" w:hAnsi="宋体" w:eastAsia="宋体" w:cs="宋体"/>
                <w:kern w:val="0"/>
                <w:sz w:val="24"/>
                <w:szCs w:val="24"/>
              </w:rPr>
            </w:pPr>
            <w:r>
              <w:rPr>
                <w:rFonts w:hint="eastAsia" w:ascii="宋体" w:hAnsi="宋体" w:eastAsia="宋体" w:cs="宋体"/>
                <w:b/>
                <w:bCs/>
                <w:color w:val="000000"/>
                <w:kern w:val="0"/>
                <w:sz w:val="23"/>
                <w:szCs w:val="23"/>
              </w:rPr>
              <w:t>存储节点</w:t>
            </w:r>
          </w:p>
        </w:tc>
      </w:tr>
      <w:tr w14:paraId="44F8915C">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5" w:hRule="atLeast"/>
          <w:jc w:val="center"/>
        </w:trPr>
        <w:tc>
          <w:tcPr>
            <w:tcW w:w="0" w:type="auto"/>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4212F98">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6</w:t>
            </w:r>
          </w:p>
        </w:tc>
        <w:tc>
          <w:tcPr>
            <w:tcW w:w="0" w:type="auto"/>
            <w:vMerge w:val="restar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8A14CC2">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云平台业务存储节点</w:t>
            </w: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54BFFAC">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1、规格：2U2路X86服务器，标配原厂导轨；国产，非OEM产品；</w:t>
            </w:r>
          </w:p>
        </w:tc>
        <w:tc>
          <w:tcPr>
            <w:tcW w:w="0" w:type="auto"/>
            <w:vMerge w:val="restar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5512029">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台</w:t>
            </w:r>
          </w:p>
        </w:tc>
        <w:tc>
          <w:tcPr>
            <w:tcW w:w="0" w:type="auto"/>
            <w:vMerge w:val="restar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E337A49">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3</w:t>
            </w:r>
          </w:p>
        </w:tc>
        <w:tc>
          <w:tcPr>
            <w:tcW w:w="0" w:type="auto"/>
            <w:vMerge w:val="restar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9490A88">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3</w:t>
            </w:r>
          </w:p>
        </w:tc>
        <w:tc>
          <w:tcPr>
            <w:tcW w:w="0" w:type="auto"/>
            <w:vMerge w:val="restar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B11C63E">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6</w:t>
            </w:r>
          </w:p>
        </w:tc>
      </w:tr>
      <w:tr w14:paraId="0B718B1C">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5" w:hRule="atLeast"/>
          <w:jc w:val="center"/>
        </w:trPr>
        <w:tc>
          <w:tcPr>
            <w:tcW w:w="0" w:type="auto"/>
            <w:vMerge w:val="continue"/>
            <w:tcBorders>
              <w:top w:val="nil"/>
              <w:left w:val="single" w:color="auto" w:sz="6" w:space="0"/>
              <w:bottom w:val="single" w:color="auto" w:sz="6" w:space="0"/>
              <w:right w:val="single" w:color="auto" w:sz="6" w:space="0"/>
            </w:tcBorders>
            <w:shd w:val="clear" w:color="auto" w:fill="auto"/>
            <w:vAlign w:val="center"/>
          </w:tcPr>
          <w:p w14:paraId="0A61C131">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14:paraId="365CE90C">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205FA5C">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2、处理器：物理处理器2颗，每颗≥2.1G/16核；</w:t>
            </w:r>
          </w:p>
        </w:tc>
        <w:tc>
          <w:tcPr>
            <w:tcW w:w="0" w:type="auto"/>
            <w:vMerge w:val="continue"/>
            <w:tcBorders>
              <w:top w:val="nil"/>
              <w:left w:val="nil"/>
              <w:bottom w:val="single" w:color="auto" w:sz="6" w:space="0"/>
              <w:right w:val="single" w:color="auto" w:sz="6" w:space="0"/>
            </w:tcBorders>
            <w:shd w:val="clear" w:color="auto" w:fill="auto"/>
            <w:vAlign w:val="center"/>
          </w:tcPr>
          <w:p w14:paraId="0201A5C0">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14:paraId="577B75DB">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14:paraId="4E1FBA19">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14:paraId="512F4699">
            <w:pPr>
              <w:widowControl/>
              <w:jc w:val="left"/>
              <w:rPr>
                <w:rFonts w:ascii="宋体" w:hAnsi="宋体" w:eastAsia="宋体" w:cs="宋体"/>
                <w:kern w:val="0"/>
                <w:sz w:val="24"/>
                <w:szCs w:val="24"/>
              </w:rPr>
            </w:pPr>
          </w:p>
        </w:tc>
      </w:tr>
      <w:tr w14:paraId="7ACB2132">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5" w:hRule="atLeast"/>
          <w:jc w:val="center"/>
        </w:trPr>
        <w:tc>
          <w:tcPr>
            <w:tcW w:w="0" w:type="auto"/>
            <w:vMerge w:val="continue"/>
            <w:tcBorders>
              <w:top w:val="nil"/>
              <w:left w:val="single" w:color="auto" w:sz="6" w:space="0"/>
              <w:bottom w:val="single" w:color="auto" w:sz="6" w:space="0"/>
              <w:right w:val="single" w:color="auto" w:sz="6" w:space="0"/>
            </w:tcBorders>
            <w:shd w:val="clear" w:color="auto" w:fill="auto"/>
            <w:vAlign w:val="center"/>
          </w:tcPr>
          <w:p w14:paraId="0B4BC65A">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14:paraId="22842404">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9A1E354">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3、配置≥640GB内存；</w:t>
            </w:r>
          </w:p>
        </w:tc>
        <w:tc>
          <w:tcPr>
            <w:tcW w:w="0" w:type="auto"/>
            <w:vMerge w:val="continue"/>
            <w:tcBorders>
              <w:top w:val="nil"/>
              <w:left w:val="nil"/>
              <w:bottom w:val="single" w:color="auto" w:sz="6" w:space="0"/>
              <w:right w:val="single" w:color="auto" w:sz="6" w:space="0"/>
            </w:tcBorders>
            <w:shd w:val="clear" w:color="auto" w:fill="auto"/>
            <w:vAlign w:val="center"/>
          </w:tcPr>
          <w:p w14:paraId="257471F7">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14:paraId="53D0869D">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14:paraId="5DD86AC2">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14:paraId="0E8A299F">
            <w:pPr>
              <w:widowControl/>
              <w:jc w:val="left"/>
              <w:rPr>
                <w:rFonts w:ascii="宋体" w:hAnsi="宋体" w:eastAsia="宋体" w:cs="宋体"/>
                <w:kern w:val="0"/>
                <w:sz w:val="24"/>
                <w:szCs w:val="24"/>
              </w:rPr>
            </w:pPr>
          </w:p>
        </w:tc>
      </w:tr>
      <w:tr w14:paraId="6F2B20B2">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5" w:hRule="atLeast"/>
          <w:jc w:val="center"/>
        </w:trPr>
        <w:tc>
          <w:tcPr>
            <w:tcW w:w="0" w:type="auto"/>
            <w:vMerge w:val="continue"/>
            <w:tcBorders>
              <w:top w:val="nil"/>
              <w:left w:val="single" w:color="auto" w:sz="6" w:space="0"/>
              <w:bottom w:val="single" w:color="auto" w:sz="6" w:space="0"/>
              <w:right w:val="single" w:color="auto" w:sz="6" w:space="0"/>
            </w:tcBorders>
            <w:shd w:val="clear" w:color="auto" w:fill="auto"/>
            <w:vAlign w:val="center"/>
          </w:tcPr>
          <w:p w14:paraId="273B77B4">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14:paraId="34757519">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B4CF143">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4、配置2块960G SSD系统盘，≥3TB NVMe SSD缓存盘；</w:t>
            </w:r>
          </w:p>
        </w:tc>
        <w:tc>
          <w:tcPr>
            <w:tcW w:w="0" w:type="auto"/>
            <w:vMerge w:val="continue"/>
            <w:tcBorders>
              <w:top w:val="nil"/>
              <w:left w:val="nil"/>
              <w:bottom w:val="single" w:color="auto" w:sz="6" w:space="0"/>
              <w:right w:val="single" w:color="auto" w:sz="6" w:space="0"/>
            </w:tcBorders>
            <w:shd w:val="clear" w:color="auto" w:fill="auto"/>
            <w:vAlign w:val="center"/>
          </w:tcPr>
          <w:p w14:paraId="5C9789F4">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14:paraId="7B8AA321">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14:paraId="3B8599F8">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14:paraId="3901C854">
            <w:pPr>
              <w:widowControl/>
              <w:jc w:val="left"/>
              <w:rPr>
                <w:rFonts w:ascii="宋体" w:hAnsi="宋体" w:eastAsia="宋体" w:cs="宋体"/>
                <w:kern w:val="0"/>
                <w:sz w:val="24"/>
                <w:szCs w:val="24"/>
              </w:rPr>
            </w:pPr>
          </w:p>
        </w:tc>
      </w:tr>
      <w:tr w14:paraId="6A723535">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5" w:hRule="atLeast"/>
          <w:jc w:val="center"/>
        </w:trPr>
        <w:tc>
          <w:tcPr>
            <w:tcW w:w="0" w:type="auto"/>
            <w:vMerge w:val="continue"/>
            <w:tcBorders>
              <w:top w:val="nil"/>
              <w:left w:val="single" w:color="auto" w:sz="6" w:space="0"/>
              <w:bottom w:val="single" w:color="auto" w:sz="6" w:space="0"/>
              <w:right w:val="single" w:color="auto" w:sz="6" w:space="0"/>
            </w:tcBorders>
            <w:shd w:val="clear" w:color="auto" w:fill="auto"/>
            <w:vAlign w:val="center"/>
          </w:tcPr>
          <w:p w14:paraId="622867E3">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14:paraId="3ECA565D">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F1CCA95">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5、配置≥46TB 容量SSD主存盘；</w:t>
            </w:r>
          </w:p>
        </w:tc>
        <w:tc>
          <w:tcPr>
            <w:tcW w:w="0" w:type="auto"/>
            <w:vMerge w:val="continue"/>
            <w:tcBorders>
              <w:top w:val="nil"/>
              <w:left w:val="nil"/>
              <w:bottom w:val="single" w:color="auto" w:sz="6" w:space="0"/>
              <w:right w:val="single" w:color="auto" w:sz="6" w:space="0"/>
            </w:tcBorders>
            <w:shd w:val="clear" w:color="auto" w:fill="auto"/>
            <w:vAlign w:val="center"/>
          </w:tcPr>
          <w:p w14:paraId="7EAE9655">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14:paraId="35CD47CB">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14:paraId="698DD36F">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14:paraId="2E757A30">
            <w:pPr>
              <w:widowControl/>
              <w:jc w:val="left"/>
              <w:rPr>
                <w:rFonts w:ascii="宋体" w:hAnsi="宋体" w:eastAsia="宋体" w:cs="宋体"/>
                <w:kern w:val="0"/>
                <w:sz w:val="24"/>
                <w:szCs w:val="24"/>
              </w:rPr>
            </w:pPr>
          </w:p>
        </w:tc>
      </w:tr>
      <w:tr w14:paraId="0B537CCD">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5" w:hRule="atLeast"/>
          <w:jc w:val="center"/>
        </w:trPr>
        <w:tc>
          <w:tcPr>
            <w:tcW w:w="0" w:type="auto"/>
            <w:vMerge w:val="continue"/>
            <w:tcBorders>
              <w:top w:val="nil"/>
              <w:left w:val="single" w:color="auto" w:sz="6" w:space="0"/>
              <w:bottom w:val="single" w:color="auto" w:sz="6" w:space="0"/>
              <w:right w:val="single" w:color="auto" w:sz="6" w:space="0"/>
            </w:tcBorders>
            <w:shd w:val="clear" w:color="auto" w:fill="auto"/>
            <w:vAlign w:val="center"/>
          </w:tcPr>
          <w:p w14:paraId="56192D5C">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14:paraId="7958AB65">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C85133F">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6、配置≥4*GE电口，6*10GE光口，满配多模光模块。</w:t>
            </w:r>
          </w:p>
        </w:tc>
        <w:tc>
          <w:tcPr>
            <w:tcW w:w="0" w:type="auto"/>
            <w:vMerge w:val="continue"/>
            <w:tcBorders>
              <w:top w:val="nil"/>
              <w:left w:val="nil"/>
              <w:bottom w:val="single" w:color="auto" w:sz="6" w:space="0"/>
              <w:right w:val="single" w:color="auto" w:sz="6" w:space="0"/>
            </w:tcBorders>
            <w:shd w:val="clear" w:color="auto" w:fill="auto"/>
            <w:vAlign w:val="center"/>
          </w:tcPr>
          <w:p w14:paraId="5ADBC297">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14:paraId="7EC1DB02">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14:paraId="004C2D44">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14:paraId="7DAE3961">
            <w:pPr>
              <w:widowControl/>
              <w:jc w:val="left"/>
              <w:rPr>
                <w:rFonts w:ascii="宋体" w:hAnsi="宋体" w:eastAsia="宋体" w:cs="宋体"/>
                <w:kern w:val="0"/>
                <w:sz w:val="24"/>
                <w:szCs w:val="24"/>
              </w:rPr>
            </w:pPr>
          </w:p>
        </w:tc>
      </w:tr>
      <w:tr w14:paraId="7F0ED7D8">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5" w:hRule="atLeast"/>
          <w:jc w:val="center"/>
        </w:trPr>
        <w:tc>
          <w:tcPr>
            <w:tcW w:w="0" w:type="auto"/>
            <w:vMerge w:val="continue"/>
            <w:tcBorders>
              <w:top w:val="nil"/>
              <w:left w:val="single" w:color="auto" w:sz="6" w:space="0"/>
              <w:bottom w:val="single" w:color="auto" w:sz="6" w:space="0"/>
              <w:right w:val="single" w:color="auto" w:sz="6" w:space="0"/>
            </w:tcBorders>
            <w:shd w:val="clear" w:color="auto" w:fill="auto"/>
            <w:vAlign w:val="center"/>
          </w:tcPr>
          <w:p w14:paraId="7BF0AF5C">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14:paraId="04F33A6F">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02F2644">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7、提供功能全面的图形化GUI管理界面。</w:t>
            </w:r>
          </w:p>
        </w:tc>
        <w:tc>
          <w:tcPr>
            <w:tcW w:w="0" w:type="auto"/>
            <w:vMerge w:val="continue"/>
            <w:tcBorders>
              <w:top w:val="nil"/>
              <w:left w:val="nil"/>
              <w:bottom w:val="single" w:color="auto" w:sz="6" w:space="0"/>
              <w:right w:val="single" w:color="auto" w:sz="6" w:space="0"/>
            </w:tcBorders>
            <w:shd w:val="clear" w:color="auto" w:fill="auto"/>
            <w:vAlign w:val="center"/>
          </w:tcPr>
          <w:p w14:paraId="2306CDE8">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14:paraId="36DB6664">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14:paraId="06D2A4F4">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14:paraId="5B595654">
            <w:pPr>
              <w:widowControl/>
              <w:jc w:val="left"/>
              <w:rPr>
                <w:rFonts w:ascii="宋体" w:hAnsi="宋体" w:eastAsia="宋体" w:cs="宋体"/>
                <w:kern w:val="0"/>
                <w:sz w:val="24"/>
                <w:szCs w:val="24"/>
              </w:rPr>
            </w:pPr>
          </w:p>
        </w:tc>
      </w:tr>
      <w:tr w14:paraId="38DCFCAD">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5" w:hRule="atLeast"/>
          <w:jc w:val="center"/>
        </w:trPr>
        <w:tc>
          <w:tcPr>
            <w:tcW w:w="0" w:type="auto"/>
            <w:vMerge w:val="continue"/>
            <w:tcBorders>
              <w:top w:val="nil"/>
              <w:left w:val="single" w:color="auto" w:sz="6" w:space="0"/>
              <w:bottom w:val="single" w:color="auto" w:sz="6" w:space="0"/>
              <w:right w:val="single" w:color="auto" w:sz="6" w:space="0"/>
            </w:tcBorders>
            <w:shd w:val="clear" w:color="auto" w:fill="auto"/>
            <w:vAlign w:val="center"/>
          </w:tcPr>
          <w:p w14:paraId="45E6EBCF">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14:paraId="5D99265F">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3D42CCB">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14:paraId="5F0EA566">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14:paraId="3EE0AAF1">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14:paraId="465B6F7F">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14:paraId="62FCB295">
            <w:pPr>
              <w:widowControl/>
              <w:jc w:val="left"/>
              <w:rPr>
                <w:rFonts w:ascii="宋体" w:hAnsi="宋体" w:eastAsia="宋体" w:cs="宋体"/>
                <w:kern w:val="0"/>
                <w:sz w:val="24"/>
                <w:szCs w:val="24"/>
              </w:rPr>
            </w:pPr>
          </w:p>
        </w:tc>
      </w:tr>
      <w:tr w14:paraId="27DCD03B">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5" w:hRule="atLeast"/>
          <w:jc w:val="center"/>
        </w:trPr>
        <w:tc>
          <w:tcPr>
            <w:tcW w:w="0" w:type="auto"/>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22D49F6">
            <w:pPr>
              <w:widowControl/>
              <w:spacing w:after="150"/>
              <w:jc w:val="center"/>
              <w:rPr>
                <w:rFonts w:ascii="宋体" w:hAnsi="宋体" w:eastAsia="宋体" w:cs="宋体"/>
                <w:kern w:val="0"/>
                <w:sz w:val="24"/>
                <w:szCs w:val="24"/>
              </w:rPr>
            </w:pPr>
            <w:r>
              <w:rPr>
                <w:rFonts w:hint="eastAsia" w:ascii="宋体" w:hAnsi="宋体" w:eastAsia="宋体" w:cs="宋体"/>
                <w:b/>
                <w:bCs/>
                <w:color w:val="000000"/>
                <w:kern w:val="0"/>
                <w:sz w:val="23"/>
                <w:szCs w:val="23"/>
              </w:rPr>
              <w:t>二</w:t>
            </w:r>
          </w:p>
        </w:tc>
        <w:tc>
          <w:tcPr>
            <w:tcW w:w="0" w:type="auto"/>
            <w:gridSpan w:val="6"/>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49748E8">
            <w:pPr>
              <w:widowControl/>
              <w:spacing w:after="150"/>
              <w:jc w:val="left"/>
              <w:rPr>
                <w:rFonts w:ascii="宋体" w:hAnsi="宋体" w:eastAsia="宋体" w:cs="宋体"/>
                <w:kern w:val="0"/>
                <w:sz w:val="24"/>
                <w:szCs w:val="24"/>
              </w:rPr>
            </w:pPr>
            <w:r>
              <w:rPr>
                <w:rFonts w:hint="eastAsia" w:ascii="宋体" w:hAnsi="宋体" w:eastAsia="宋体" w:cs="宋体"/>
                <w:b/>
                <w:bCs/>
                <w:color w:val="000000"/>
                <w:kern w:val="0"/>
                <w:sz w:val="23"/>
                <w:szCs w:val="23"/>
              </w:rPr>
              <w:t>增补配件</w:t>
            </w:r>
          </w:p>
        </w:tc>
      </w:tr>
      <w:tr w14:paraId="44F40B51">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5" w:hRule="atLeast"/>
          <w:jc w:val="center"/>
        </w:trPr>
        <w:tc>
          <w:tcPr>
            <w:tcW w:w="0" w:type="auto"/>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150232A">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7</w:t>
            </w: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5CD3B9A">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集群硬盘增补</w:t>
            </w: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D317CD8">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4"/>
                <w:szCs w:val="24"/>
              </w:rPr>
              <w:t>增补3.84TB     SSD硬盘</w:t>
            </w: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5D61AB5">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块</w:t>
            </w: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889AD9C">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144</w:t>
            </w: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BD01BC2">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4"/>
                <w:szCs w:val="24"/>
              </w:rPr>
              <w:t>0</w:t>
            </w: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FE56A35">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144</w:t>
            </w:r>
          </w:p>
        </w:tc>
      </w:tr>
      <w:tr w14:paraId="7E0C7223">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5" w:hRule="atLeast"/>
          <w:jc w:val="center"/>
        </w:trPr>
        <w:tc>
          <w:tcPr>
            <w:tcW w:w="0" w:type="auto"/>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E1FCC84">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8</w:t>
            </w: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54C1645">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应用服务器内存增补</w:t>
            </w: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906EF06">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4"/>
                <w:szCs w:val="24"/>
              </w:rPr>
              <w:t>增补32G内存条</w:t>
            </w: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A3ECEF8">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条</w:t>
            </w: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303A6DB">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204</w:t>
            </w: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6920BB0">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96</w:t>
            </w: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9C314BB">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300</w:t>
            </w:r>
          </w:p>
        </w:tc>
      </w:tr>
      <w:tr w14:paraId="788E58CC">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5" w:hRule="atLeast"/>
          <w:jc w:val="center"/>
        </w:trPr>
        <w:tc>
          <w:tcPr>
            <w:tcW w:w="0" w:type="auto"/>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A820E83">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9</w:t>
            </w: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5619577">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安全服务器硬盘增补</w:t>
            </w: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4C698B6">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4"/>
                <w:szCs w:val="24"/>
              </w:rPr>
              <w:t>增补3.84TB     SSD硬盘</w:t>
            </w: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23D29C2">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块</w:t>
            </w: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B81A2C6">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12</w:t>
            </w: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FAF2BE4">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12</w:t>
            </w: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F84485D">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24</w:t>
            </w:r>
          </w:p>
        </w:tc>
      </w:tr>
    </w:tbl>
    <w:p w14:paraId="040CF5BC">
      <w:pPr>
        <w:widowControl/>
        <w:spacing w:before="100" w:beforeAutospacing="1" w:after="100" w:afterAutospacing="1" w:line="300" w:lineRule="atLeast"/>
        <w:jc w:val="left"/>
        <w:rPr>
          <w:rFonts w:ascii="宋体" w:hAnsi="宋体" w:eastAsia="宋体" w:cs="宋体"/>
          <w:kern w:val="0"/>
          <w:sz w:val="24"/>
          <w:szCs w:val="24"/>
        </w:rPr>
      </w:pPr>
      <w:r>
        <w:rPr>
          <w:rFonts w:hint="eastAsia" w:ascii="宋体" w:hAnsi="宋体" w:eastAsia="宋体" w:cs="宋体"/>
          <w:b/>
          <w:bCs/>
          <w:kern w:val="0"/>
          <w:sz w:val="24"/>
          <w:szCs w:val="24"/>
        </w:rPr>
        <w:t>性能提升要求</w:t>
      </w:r>
    </w:p>
    <w:p w14:paraId="1AF10815">
      <w:pPr>
        <w:widowControl/>
        <w:spacing w:after="150" w:line="300" w:lineRule="atLeast"/>
        <w:jc w:val="left"/>
        <w:rPr>
          <w:rFonts w:ascii="宋体" w:hAnsi="宋体" w:eastAsia="宋体" w:cs="宋体"/>
          <w:kern w:val="0"/>
          <w:sz w:val="24"/>
          <w:szCs w:val="24"/>
        </w:rPr>
      </w:pPr>
      <w:r>
        <w:rPr>
          <w:rFonts w:hint="eastAsia" w:ascii="宋体" w:hAnsi="宋体" w:eastAsia="宋体" w:cs="宋体"/>
          <w:kern w:val="0"/>
          <w:sz w:val="24"/>
          <w:szCs w:val="24"/>
        </w:rPr>
        <w:t>1、云平台业务存储节点，性能提升要求如下：</w:t>
      </w:r>
    </w:p>
    <w:p w14:paraId="2A49E448">
      <w:pPr>
        <w:widowControl/>
        <w:spacing w:after="150" w:line="300" w:lineRule="atLeast"/>
        <w:jc w:val="left"/>
        <w:rPr>
          <w:rFonts w:ascii="宋体" w:hAnsi="宋体" w:eastAsia="宋体" w:cs="宋体"/>
          <w:kern w:val="0"/>
          <w:sz w:val="24"/>
          <w:szCs w:val="24"/>
        </w:rPr>
      </w:pPr>
      <w:r>
        <w:rPr>
          <w:rFonts w:hint="eastAsia" w:ascii="宋体" w:hAnsi="宋体" w:eastAsia="宋体" w:cs="宋体"/>
          <w:kern w:val="0"/>
          <w:sz w:val="24"/>
          <w:szCs w:val="24"/>
        </w:rPr>
        <w:t>■（1）支持PCIe防护模块，支持防火墙、IPS和防病毒功能；(提供官网公开链接及截图证明，并加盖投标人公章)</w:t>
      </w:r>
    </w:p>
    <w:p w14:paraId="4250A8BD">
      <w:pPr>
        <w:widowControl/>
        <w:spacing w:after="150" w:line="300" w:lineRule="atLeast"/>
        <w:jc w:val="left"/>
        <w:rPr>
          <w:rFonts w:ascii="宋体" w:hAnsi="宋体" w:eastAsia="宋体" w:cs="宋体"/>
          <w:kern w:val="0"/>
          <w:sz w:val="24"/>
          <w:szCs w:val="24"/>
        </w:rPr>
      </w:pPr>
      <w:r>
        <w:rPr>
          <w:rFonts w:hint="eastAsia" w:ascii="宋体" w:hAnsi="宋体" w:eastAsia="宋体" w:cs="宋体"/>
          <w:kern w:val="0"/>
          <w:sz w:val="24"/>
          <w:szCs w:val="24"/>
        </w:rPr>
        <w:t>■（2）支持5-50°C的标准工作温度；(提供官网公开链接及截图证明，并加盖投标人公章）</w:t>
      </w:r>
    </w:p>
    <w:p w14:paraId="02DEB786">
      <w:pPr>
        <w:widowControl/>
        <w:spacing w:after="150" w:line="300" w:lineRule="atLeast"/>
        <w:jc w:val="left"/>
        <w:rPr>
          <w:rFonts w:ascii="宋体" w:hAnsi="宋体" w:eastAsia="宋体" w:cs="宋体"/>
          <w:kern w:val="0"/>
          <w:sz w:val="24"/>
          <w:szCs w:val="24"/>
        </w:rPr>
      </w:pPr>
      <w:r>
        <w:rPr>
          <w:rFonts w:hint="eastAsia" w:ascii="宋体" w:hAnsi="宋体" w:eastAsia="宋体" w:cs="宋体"/>
          <w:kern w:val="0"/>
          <w:sz w:val="24"/>
          <w:szCs w:val="24"/>
        </w:rPr>
        <w:t>▲（3）支持≥6个热拔插风扇；（提供投标设备拆机图及官网链接证明，标示风扇位置和数量）</w:t>
      </w:r>
    </w:p>
    <w:p w14:paraId="0933C898">
      <w:pPr>
        <w:widowControl/>
        <w:spacing w:after="150" w:line="300" w:lineRule="atLeast"/>
        <w:jc w:val="left"/>
        <w:rPr>
          <w:rFonts w:ascii="宋体" w:hAnsi="宋体" w:eastAsia="宋体" w:cs="宋体"/>
          <w:kern w:val="0"/>
          <w:sz w:val="24"/>
          <w:szCs w:val="24"/>
        </w:rPr>
      </w:pPr>
      <w:r>
        <w:rPr>
          <w:rFonts w:hint="eastAsia" w:ascii="宋体" w:hAnsi="宋体" w:eastAsia="宋体" w:cs="宋体"/>
          <w:kern w:val="0"/>
          <w:sz w:val="24"/>
          <w:szCs w:val="24"/>
        </w:rPr>
        <w:t>2、集群硬盘增补，性能提升要求如下：</w:t>
      </w:r>
    </w:p>
    <w:p w14:paraId="6BF57BAD">
      <w:pPr>
        <w:widowControl/>
        <w:spacing w:after="150" w:line="300" w:lineRule="atLeast"/>
        <w:jc w:val="left"/>
        <w:rPr>
          <w:rFonts w:ascii="宋体" w:hAnsi="宋体" w:eastAsia="宋体" w:cs="宋体"/>
          <w:kern w:val="0"/>
          <w:sz w:val="24"/>
          <w:szCs w:val="24"/>
        </w:rPr>
      </w:pPr>
      <w:r>
        <w:rPr>
          <w:rFonts w:hint="eastAsia" w:ascii="宋体" w:hAnsi="宋体" w:eastAsia="宋体" w:cs="宋体"/>
          <w:kern w:val="0"/>
          <w:sz w:val="24"/>
          <w:szCs w:val="24"/>
        </w:rPr>
        <w:t>▲（1）3.84TB SSD 硬盘作为云平台易耗品，投标人额外准备不少于 20 块 3.84T SSD 硬盘作为维修备品备件。</w:t>
      </w:r>
    </w:p>
    <w:p w14:paraId="221F0157">
      <w:pPr>
        <w:widowControl/>
        <w:spacing w:after="150" w:line="300" w:lineRule="atLeast"/>
        <w:jc w:val="left"/>
        <w:rPr>
          <w:rFonts w:ascii="宋体" w:hAnsi="宋体" w:eastAsia="宋体" w:cs="宋体"/>
          <w:kern w:val="0"/>
          <w:sz w:val="24"/>
          <w:szCs w:val="24"/>
        </w:rPr>
      </w:pPr>
      <w:r>
        <w:rPr>
          <w:rFonts w:hint="eastAsia" w:ascii="宋体" w:hAnsi="宋体" w:eastAsia="宋体" w:cs="宋体"/>
          <w:kern w:val="0"/>
          <w:sz w:val="24"/>
          <w:szCs w:val="24"/>
        </w:rPr>
        <w:t>3、应用服务器内存增补，性能提升要求如下：</w:t>
      </w:r>
    </w:p>
    <w:p w14:paraId="5390711C">
      <w:pPr>
        <w:widowControl/>
        <w:spacing w:after="150" w:line="300" w:lineRule="atLeast"/>
        <w:jc w:val="left"/>
        <w:rPr>
          <w:rFonts w:ascii="宋体" w:hAnsi="宋体" w:eastAsia="宋体" w:cs="宋体"/>
          <w:kern w:val="0"/>
          <w:sz w:val="24"/>
          <w:szCs w:val="24"/>
        </w:rPr>
      </w:pPr>
      <w:r>
        <w:rPr>
          <w:rFonts w:hint="eastAsia" w:ascii="宋体" w:hAnsi="宋体" w:eastAsia="宋体" w:cs="宋体"/>
          <w:kern w:val="0"/>
          <w:sz w:val="24"/>
          <w:szCs w:val="24"/>
        </w:rPr>
        <w:t>▲（1）内存条作为云平台易耗品，投标人额外准备不少于 50 条 32G 内存条作为维修备品备件。</w:t>
      </w:r>
    </w:p>
    <w:p w14:paraId="547F9FAE">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 w:val="24"/>
          <w:szCs w:val="24"/>
        </w:rPr>
        <w:t> </w:t>
      </w:r>
    </w:p>
    <w:p w14:paraId="62159DFA">
      <w:pPr>
        <w:widowControl/>
        <w:spacing w:before="300" w:after="150"/>
        <w:jc w:val="left"/>
        <w:rPr>
          <w:rFonts w:ascii="宋体" w:hAnsi="宋体" w:eastAsia="宋体" w:cs="宋体"/>
          <w:kern w:val="0"/>
          <w:sz w:val="24"/>
          <w:szCs w:val="24"/>
        </w:rPr>
      </w:pPr>
      <w:r>
        <w:rPr>
          <w:rFonts w:hint="eastAsia" w:ascii="宋体" w:hAnsi="宋体" w:eastAsia="宋体" w:cs="宋体"/>
          <w:kern w:val="0"/>
          <w:sz w:val="24"/>
          <w:szCs w:val="24"/>
        </w:rPr>
        <w:t>1.2.2 云平台软件授权</w:t>
      </w:r>
    </w:p>
    <w:p w14:paraId="1B1DF22D">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b/>
          <w:bCs/>
          <w:kern w:val="0"/>
          <w:sz w:val="24"/>
          <w:szCs w:val="24"/>
        </w:rPr>
        <w:t>基础规格参数</w:t>
      </w:r>
    </w:p>
    <w:tbl>
      <w:tblPr>
        <w:tblStyle w:val="9"/>
        <w:tblW w:w="0" w:type="auto"/>
        <w:tblInd w:w="0" w:type="dxa"/>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470"/>
        <w:gridCol w:w="627"/>
        <w:gridCol w:w="4014"/>
        <w:gridCol w:w="470"/>
        <w:gridCol w:w="1171"/>
        <w:gridCol w:w="1172"/>
        <w:gridCol w:w="592"/>
      </w:tblGrid>
      <w:tr w14:paraId="486106DC">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5" w:hRule="atLeast"/>
        </w:trPr>
        <w:tc>
          <w:tcPr>
            <w:tcW w:w="0" w:type="auto"/>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F0D0169">
            <w:pPr>
              <w:widowControl/>
              <w:spacing w:after="150"/>
              <w:jc w:val="center"/>
              <w:rPr>
                <w:rFonts w:ascii="宋体" w:hAnsi="宋体" w:eastAsia="宋体" w:cs="宋体"/>
                <w:kern w:val="0"/>
                <w:sz w:val="24"/>
                <w:szCs w:val="24"/>
              </w:rPr>
            </w:pPr>
            <w:r>
              <w:rPr>
                <w:rFonts w:hint="eastAsia" w:ascii="宋体" w:hAnsi="宋体" w:eastAsia="宋体" w:cs="宋体"/>
                <w:b/>
                <w:bCs/>
                <w:color w:val="000000"/>
                <w:kern w:val="0"/>
                <w:sz w:val="23"/>
                <w:szCs w:val="23"/>
              </w:rPr>
              <w:t>序号</w:t>
            </w:r>
          </w:p>
        </w:tc>
        <w:tc>
          <w:tcPr>
            <w:tcW w:w="0" w:type="auto"/>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4C25C58">
            <w:pPr>
              <w:widowControl/>
              <w:spacing w:after="150"/>
              <w:jc w:val="center"/>
              <w:rPr>
                <w:rFonts w:ascii="宋体" w:hAnsi="宋体" w:eastAsia="宋体" w:cs="宋体"/>
                <w:kern w:val="0"/>
                <w:sz w:val="24"/>
                <w:szCs w:val="24"/>
              </w:rPr>
            </w:pPr>
            <w:r>
              <w:rPr>
                <w:rFonts w:hint="eastAsia" w:ascii="宋体" w:hAnsi="宋体" w:eastAsia="宋体" w:cs="宋体"/>
                <w:b/>
                <w:bCs/>
                <w:color w:val="000000"/>
                <w:kern w:val="0"/>
                <w:sz w:val="23"/>
                <w:szCs w:val="23"/>
              </w:rPr>
              <w:t>名 称</w:t>
            </w:r>
          </w:p>
        </w:tc>
        <w:tc>
          <w:tcPr>
            <w:tcW w:w="0" w:type="auto"/>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B4EAE84">
            <w:pPr>
              <w:widowControl/>
              <w:spacing w:after="150"/>
              <w:jc w:val="center"/>
              <w:rPr>
                <w:rFonts w:ascii="宋体" w:hAnsi="宋体" w:eastAsia="宋体" w:cs="宋体"/>
                <w:kern w:val="0"/>
                <w:sz w:val="24"/>
                <w:szCs w:val="24"/>
              </w:rPr>
            </w:pPr>
            <w:r>
              <w:rPr>
                <w:rFonts w:hint="eastAsia" w:ascii="宋体" w:hAnsi="宋体" w:eastAsia="宋体" w:cs="宋体"/>
                <w:b/>
                <w:bCs/>
                <w:color w:val="000000"/>
                <w:kern w:val="0"/>
                <w:sz w:val="23"/>
                <w:szCs w:val="23"/>
              </w:rPr>
              <w:t>基础规格参数</w:t>
            </w:r>
          </w:p>
        </w:tc>
        <w:tc>
          <w:tcPr>
            <w:tcW w:w="0" w:type="auto"/>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0C4E42A">
            <w:pPr>
              <w:widowControl/>
              <w:spacing w:after="150"/>
              <w:jc w:val="center"/>
              <w:rPr>
                <w:rFonts w:ascii="宋体" w:hAnsi="宋体" w:eastAsia="宋体" w:cs="宋体"/>
                <w:kern w:val="0"/>
                <w:sz w:val="24"/>
                <w:szCs w:val="24"/>
              </w:rPr>
            </w:pPr>
            <w:r>
              <w:rPr>
                <w:rFonts w:hint="eastAsia" w:ascii="宋体" w:hAnsi="宋体" w:eastAsia="宋体" w:cs="宋体"/>
                <w:b/>
                <w:bCs/>
                <w:color w:val="000000"/>
                <w:kern w:val="0"/>
                <w:sz w:val="23"/>
                <w:szCs w:val="23"/>
              </w:rPr>
              <w:t>单位</w:t>
            </w:r>
          </w:p>
        </w:tc>
        <w:tc>
          <w:tcPr>
            <w:tcW w:w="0" w:type="auto"/>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A7273C2">
            <w:pPr>
              <w:widowControl/>
              <w:spacing w:after="150"/>
              <w:jc w:val="center"/>
              <w:rPr>
                <w:rFonts w:ascii="宋体" w:hAnsi="宋体" w:eastAsia="宋体" w:cs="宋体"/>
                <w:kern w:val="0"/>
                <w:sz w:val="24"/>
                <w:szCs w:val="24"/>
              </w:rPr>
            </w:pPr>
            <w:r>
              <w:rPr>
                <w:rFonts w:hint="eastAsia" w:ascii="宋体" w:hAnsi="宋体" w:eastAsia="宋体" w:cs="宋体"/>
                <w:b/>
                <w:bCs/>
                <w:color w:val="000000"/>
                <w:kern w:val="0"/>
                <w:sz w:val="23"/>
                <w:szCs w:val="23"/>
              </w:rPr>
              <w:t>数据</w:t>
            </w:r>
            <w:r>
              <w:rPr>
                <w:rFonts w:hint="eastAsia" w:ascii="宋体" w:hAnsi="宋体" w:eastAsia="宋体" w:cs="宋体"/>
                <w:b/>
                <w:bCs/>
                <w:color w:val="000000"/>
                <w:kern w:val="0"/>
                <w:sz w:val="23"/>
                <w:szCs w:val="23"/>
              </w:rPr>
              <w:br w:type="textWrapping"/>
            </w:r>
            <w:r>
              <w:rPr>
                <w:rFonts w:hint="eastAsia" w:ascii="宋体" w:hAnsi="宋体" w:eastAsia="宋体" w:cs="宋体"/>
                <w:b/>
                <w:bCs/>
                <w:color w:val="000000"/>
                <w:kern w:val="0"/>
                <w:sz w:val="23"/>
                <w:szCs w:val="23"/>
              </w:rPr>
              <w:t>    中心A</w:t>
            </w:r>
          </w:p>
        </w:tc>
        <w:tc>
          <w:tcPr>
            <w:tcW w:w="0" w:type="auto"/>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1DB18ED">
            <w:pPr>
              <w:widowControl/>
              <w:spacing w:after="150"/>
              <w:jc w:val="center"/>
              <w:rPr>
                <w:rFonts w:ascii="宋体" w:hAnsi="宋体" w:eastAsia="宋体" w:cs="宋体"/>
                <w:kern w:val="0"/>
                <w:sz w:val="24"/>
                <w:szCs w:val="24"/>
              </w:rPr>
            </w:pPr>
            <w:r>
              <w:rPr>
                <w:rFonts w:hint="eastAsia" w:ascii="宋体" w:hAnsi="宋体" w:eastAsia="宋体" w:cs="宋体"/>
                <w:b/>
                <w:bCs/>
                <w:color w:val="000000"/>
                <w:kern w:val="0"/>
                <w:sz w:val="23"/>
                <w:szCs w:val="23"/>
              </w:rPr>
              <w:t>数据</w:t>
            </w:r>
            <w:r>
              <w:rPr>
                <w:rFonts w:hint="eastAsia" w:ascii="宋体" w:hAnsi="宋体" w:eastAsia="宋体" w:cs="宋体"/>
                <w:b/>
                <w:bCs/>
                <w:color w:val="000000"/>
                <w:kern w:val="0"/>
                <w:sz w:val="23"/>
                <w:szCs w:val="23"/>
              </w:rPr>
              <w:br w:type="textWrapping"/>
            </w:r>
            <w:r>
              <w:rPr>
                <w:rFonts w:hint="eastAsia" w:ascii="宋体" w:hAnsi="宋体" w:eastAsia="宋体" w:cs="宋体"/>
                <w:b/>
                <w:bCs/>
                <w:color w:val="000000"/>
                <w:kern w:val="0"/>
                <w:sz w:val="23"/>
                <w:szCs w:val="23"/>
              </w:rPr>
              <w:t>    中心B</w:t>
            </w:r>
          </w:p>
        </w:tc>
        <w:tc>
          <w:tcPr>
            <w:tcW w:w="0" w:type="auto"/>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E6C4348">
            <w:pPr>
              <w:widowControl/>
              <w:spacing w:after="150"/>
              <w:jc w:val="center"/>
              <w:rPr>
                <w:rFonts w:ascii="宋体" w:hAnsi="宋体" w:eastAsia="宋体" w:cs="宋体"/>
                <w:kern w:val="0"/>
                <w:sz w:val="24"/>
                <w:szCs w:val="24"/>
              </w:rPr>
            </w:pPr>
            <w:r>
              <w:rPr>
                <w:rFonts w:hint="eastAsia" w:ascii="宋体" w:hAnsi="宋体" w:eastAsia="宋体" w:cs="宋体"/>
                <w:b/>
                <w:bCs/>
                <w:color w:val="000000"/>
                <w:kern w:val="0"/>
                <w:sz w:val="23"/>
                <w:szCs w:val="23"/>
              </w:rPr>
              <w:t>合计</w:t>
            </w:r>
          </w:p>
        </w:tc>
      </w:tr>
      <w:tr w14:paraId="2D1397CE">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5" w:hRule="atLeast"/>
        </w:trPr>
        <w:tc>
          <w:tcPr>
            <w:tcW w:w="0" w:type="auto"/>
            <w:vMerge w:val="restart"/>
            <w:tcBorders>
              <w:top w:val="nil"/>
              <w:left w:val="single" w:color="auto" w:sz="6" w:space="0"/>
              <w:bottom w:val="nil"/>
              <w:right w:val="single" w:color="auto" w:sz="6" w:space="0"/>
            </w:tcBorders>
            <w:shd w:val="clear" w:color="auto" w:fill="FFFFFF"/>
            <w:tcMar>
              <w:top w:w="0" w:type="dxa"/>
              <w:left w:w="105" w:type="dxa"/>
              <w:bottom w:w="0" w:type="dxa"/>
              <w:right w:w="105" w:type="dxa"/>
            </w:tcMar>
            <w:vAlign w:val="center"/>
          </w:tcPr>
          <w:p w14:paraId="20FB8A6B">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14</w:t>
            </w:r>
          </w:p>
        </w:tc>
        <w:tc>
          <w:tcPr>
            <w:tcW w:w="0" w:type="auto"/>
            <w:vMerge w:val="restart"/>
            <w:tcBorders>
              <w:top w:val="nil"/>
              <w:left w:val="nil"/>
              <w:bottom w:val="nil"/>
              <w:right w:val="single" w:color="auto" w:sz="6" w:space="0"/>
            </w:tcBorders>
            <w:shd w:val="clear" w:color="auto" w:fill="FFFFFF"/>
            <w:tcMar>
              <w:top w:w="0" w:type="dxa"/>
              <w:left w:w="105" w:type="dxa"/>
              <w:bottom w:w="0" w:type="dxa"/>
              <w:right w:w="105" w:type="dxa"/>
            </w:tcMar>
            <w:vAlign w:val="center"/>
          </w:tcPr>
          <w:p w14:paraId="320807B0">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分布式文件存储授权</w:t>
            </w: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5F95ECE">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4"/>
                <w:szCs w:val="24"/>
              </w:rPr>
              <w:t>满足实际部署硬件数量要求的授权许可。</w:t>
            </w:r>
          </w:p>
        </w:tc>
        <w:tc>
          <w:tcPr>
            <w:tcW w:w="0" w:type="auto"/>
            <w:vMerge w:val="restart"/>
            <w:tcBorders>
              <w:top w:val="nil"/>
              <w:left w:val="nil"/>
              <w:bottom w:val="nil"/>
              <w:right w:val="single" w:color="auto" w:sz="6" w:space="0"/>
            </w:tcBorders>
            <w:shd w:val="clear" w:color="auto" w:fill="FFFFFF"/>
            <w:tcMar>
              <w:top w:w="0" w:type="dxa"/>
              <w:left w:w="105" w:type="dxa"/>
              <w:bottom w:w="0" w:type="dxa"/>
              <w:right w:w="105" w:type="dxa"/>
            </w:tcMar>
            <w:vAlign w:val="center"/>
          </w:tcPr>
          <w:p w14:paraId="3BD704CD">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套</w:t>
            </w:r>
          </w:p>
        </w:tc>
        <w:tc>
          <w:tcPr>
            <w:tcW w:w="0" w:type="auto"/>
            <w:vMerge w:val="restart"/>
            <w:tcBorders>
              <w:top w:val="nil"/>
              <w:left w:val="nil"/>
              <w:bottom w:val="nil"/>
              <w:right w:val="single" w:color="auto" w:sz="6" w:space="0"/>
            </w:tcBorders>
            <w:shd w:val="clear" w:color="auto" w:fill="FFFFFF"/>
            <w:tcMar>
              <w:top w:w="0" w:type="dxa"/>
              <w:left w:w="105" w:type="dxa"/>
              <w:bottom w:w="0" w:type="dxa"/>
              <w:right w:w="105" w:type="dxa"/>
            </w:tcMar>
            <w:vAlign w:val="center"/>
          </w:tcPr>
          <w:p w14:paraId="77B8637C">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1</w:t>
            </w:r>
          </w:p>
        </w:tc>
        <w:tc>
          <w:tcPr>
            <w:tcW w:w="0" w:type="auto"/>
            <w:vMerge w:val="restart"/>
            <w:tcBorders>
              <w:top w:val="nil"/>
              <w:left w:val="nil"/>
              <w:bottom w:val="nil"/>
              <w:right w:val="single" w:color="auto" w:sz="6" w:space="0"/>
            </w:tcBorders>
            <w:shd w:val="clear" w:color="auto" w:fill="FFFFFF"/>
            <w:tcMar>
              <w:top w:w="0" w:type="dxa"/>
              <w:left w:w="105" w:type="dxa"/>
              <w:bottom w:w="0" w:type="dxa"/>
              <w:right w:w="105" w:type="dxa"/>
            </w:tcMar>
            <w:vAlign w:val="center"/>
          </w:tcPr>
          <w:p w14:paraId="72482EC4">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1</w:t>
            </w:r>
          </w:p>
        </w:tc>
        <w:tc>
          <w:tcPr>
            <w:tcW w:w="0" w:type="auto"/>
            <w:vMerge w:val="restart"/>
            <w:tcBorders>
              <w:top w:val="nil"/>
              <w:left w:val="nil"/>
              <w:bottom w:val="nil"/>
              <w:right w:val="single" w:color="auto" w:sz="6" w:space="0"/>
            </w:tcBorders>
            <w:shd w:val="clear" w:color="auto" w:fill="FFFFFF"/>
            <w:tcMar>
              <w:top w:w="0" w:type="dxa"/>
              <w:left w:w="105" w:type="dxa"/>
              <w:bottom w:w="0" w:type="dxa"/>
              <w:right w:w="105" w:type="dxa"/>
            </w:tcMar>
            <w:vAlign w:val="center"/>
          </w:tcPr>
          <w:p w14:paraId="09773EBB">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2</w:t>
            </w:r>
          </w:p>
        </w:tc>
      </w:tr>
      <w:tr w14:paraId="5BA8195B">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5" w:hRule="atLeast"/>
        </w:trPr>
        <w:tc>
          <w:tcPr>
            <w:tcW w:w="0" w:type="auto"/>
            <w:vMerge w:val="continue"/>
            <w:tcBorders>
              <w:top w:val="nil"/>
              <w:left w:val="single" w:color="auto" w:sz="6" w:space="0"/>
              <w:bottom w:val="nil"/>
              <w:right w:val="single" w:color="auto" w:sz="6" w:space="0"/>
            </w:tcBorders>
            <w:shd w:val="clear" w:color="auto" w:fill="auto"/>
            <w:vAlign w:val="center"/>
          </w:tcPr>
          <w:p w14:paraId="138A2263">
            <w:pPr>
              <w:widowControl/>
              <w:jc w:val="left"/>
              <w:rPr>
                <w:rFonts w:ascii="宋体" w:hAnsi="宋体" w:eastAsia="宋体" w:cs="宋体"/>
                <w:kern w:val="0"/>
                <w:sz w:val="24"/>
                <w:szCs w:val="24"/>
              </w:rPr>
            </w:pPr>
          </w:p>
        </w:tc>
        <w:tc>
          <w:tcPr>
            <w:tcW w:w="0" w:type="auto"/>
            <w:vMerge w:val="continue"/>
            <w:tcBorders>
              <w:top w:val="nil"/>
              <w:left w:val="nil"/>
              <w:bottom w:val="nil"/>
              <w:right w:val="single" w:color="auto" w:sz="6" w:space="0"/>
            </w:tcBorders>
            <w:shd w:val="clear" w:color="auto" w:fill="auto"/>
            <w:vAlign w:val="center"/>
          </w:tcPr>
          <w:p w14:paraId="04101831">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E5F5F0F">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1、满足《医疗保障信息平台云计算平台规范》和《进一步做好医保信息平台建设有关工作的通知》的要求，新增的存储节点需在原有分布式文件存储的基础上进行平滑扩展，并将原有的存储数据在短时间内均衡到新增的节点上。</w:t>
            </w:r>
          </w:p>
        </w:tc>
        <w:tc>
          <w:tcPr>
            <w:tcW w:w="0" w:type="auto"/>
            <w:vMerge w:val="continue"/>
            <w:tcBorders>
              <w:top w:val="nil"/>
              <w:left w:val="nil"/>
              <w:bottom w:val="nil"/>
              <w:right w:val="single" w:color="auto" w:sz="6" w:space="0"/>
            </w:tcBorders>
            <w:shd w:val="clear" w:color="auto" w:fill="auto"/>
            <w:vAlign w:val="center"/>
          </w:tcPr>
          <w:p w14:paraId="25973E77">
            <w:pPr>
              <w:widowControl/>
              <w:jc w:val="left"/>
              <w:rPr>
                <w:rFonts w:ascii="宋体" w:hAnsi="宋体" w:eastAsia="宋体" w:cs="宋体"/>
                <w:kern w:val="0"/>
                <w:sz w:val="24"/>
                <w:szCs w:val="24"/>
              </w:rPr>
            </w:pPr>
          </w:p>
        </w:tc>
        <w:tc>
          <w:tcPr>
            <w:tcW w:w="0" w:type="auto"/>
            <w:vMerge w:val="continue"/>
            <w:tcBorders>
              <w:top w:val="nil"/>
              <w:left w:val="nil"/>
              <w:bottom w:val="nil"/>
              <w:right w:val="single" w:color="auto" w:sz="6" w:space="0"/>
            </w:tcBorders>
            <w:shd w:val="clear" w:color="auto" w:fill="auto"/>
            <w:vAlign w:val="center"/>
          </w:tcPr>
          <w:p w14:paraId="139FEE75">
            <w:pPr>
              <w:widowControl/>
              <w:jc w:val="left"/>
              <w:rPr>
                <w:rFonts w:ascii="宋体" w:hAnsi="宋体" w:eastAsia="宋体" w:cs="宋体"/>
                <w:kern w:val="0"/>
                <w:sz w:val="24"/>
                <w:szCs w:val="24"/>
              </w:rPr>
            </w:pPr>
          </w:p>
        </w:tc>
        <w:tc>
          <w:tcPr>
            <w:tcW w:w="0" w:type="auto"/>
            <w:vMerge w:val="continue"/>
            <w:tcBorders>
              <w:top w:val="nil"/>
              <w:left w:val="nil"/>
              <w:bottom w:val="nil"/>
              <w:right w:val="single" w:color="auto" w:sz="6" w:space="0"/>
            </w:tcBorders>
            <w:shd w:val="clear" w:color="auto" w:fill="auto"/>
            <w:vAlign w:val="center"/>
          </w:tcPr>
          <w:p w14:paraId="201C27CB">
            <w:pPr>
              <w:widowControl/>
              <w:jc w:val="left"/>
              <w:rPr>
                <w:rFonts w:ascii="宋体" w:hAnsi="宋体" w:eastAsia="宋体" w:cs="宋体"/>
                <w:kern w:val="0"/>
                <w:sz w:val="24"/>
                <w:szCs w:val="24"/>
              </w:rPr>
            </w:pPr>
          </w:p>
        </w:tc>
        <w:tc>
          <w:tcPr>
            <w:tcW w:w="0" w:type="auto"/>
            <w:vMerge w:val="continue"/>
            <w:tcBorders>
              <w:top w:val="nil"/>
              <w:left w:val="nil"/>
              <w:bottom w:val="nil"/>
              <w:right w:val="single" w:color="auto" w:sz="6" w:space="0"/>
            </w:tcBorders>
            <w:shd w:val="clear" w:color="auto" w:fill="auto"/>
            <w:vAlign w:val="center"/>
          </w:tcPr>
          <w:p w14:paraId="353DC349">
            <w:pPr>
              <w:widowControl/>
              <w:jc w:val="left"/>
              <w:rPr>
                <w:rFonts w:ascii="宋体" w:hAnsi="宋体" w:eastAsia="宋体" w:cs="宋体"/>
                <w:kern w:val="0"/>
                <w:sz w:val="24"/>
                <w:szCs w:val="24"/>
              </w:rPr>
            </w:pPr>
          </w:p>
        </w:tc>
      </w:tr>
      <w:tr w14:paraId="6FF73CFF">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5" w:hRule="atLeast"/>
        </w:trPr>
        <w:tc>
          <w:tcPr>
            <w:tcW w:w="0" w:type="auto"/>
            <w:vMerge w:val="continue"/>
            <w:tcBorders>
              <w:top w:val="nil"/>
              <w:left w:val="single" w:color="auto" w:sz="6" w:space="0"/>
              <w:bottom w:val="nil"/>
              <w:right w:val="single" w:color="auto" w:sz="6" w:space="0"/>
            </w:tcBorders>
            <w:shd w:val="clear" w:color="auto" w:fill="auto"/>
            <w:vAlign w:val="center"/>
          </w:tcPr>
          <w:p w14:paraId="1B4D2F27">
            <w:pPr>
              <w:widowControl/>
              <w:jc w:val="left"/>
              <w:rPr>
                <w:rFonts w:ascii="宋体" w:hAnsi="宋体" w:eastAsia="宋体" w:cs="宋体"/>
                <w:kern w:val="0"/>
                <w:sz w:val="24"/>
                <w:szCs w:val="24"/>
              </w:rPr>
            </w:pPr>
          </w:p>
        </w:tc>
        <w:tc>
          <w:tcPr>
            <w:tcW w:w="0" w:type="auto"/>
            <w:vMerge w:val="continue"/>
            <w:tcBorders>
              <w:top w:val="nil"/>
              <w:left w:val="nil"/>
              <w:bottom w:val="nil"/>
              <w:right w:val="single" w:color="auto" w:sz="6" w:space="0"/>
            </w:tcBorders>
            <w:shd w:val="clear" w:color="auto" w:fill="auto"/>
            <w:vAlign w:val="center"/>
          </w:tcPr>
          <w:p w14:paraId="54D0DF0C">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A7EAB7E">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2、与现有的核心区云平台、容灾管理平台无缝对接，接受云平台的统一纳管和配置下发，以便于进行业务的自动开通；接受容灾管理平台的统一调度，以便于进行A/B中心的容灾切换。</w:t>
            </w:r>
          </w:p>
        </w:tc>
        <w:tc>
          <w:tcPr>
            <w:tcW w:w="0" w:type="auto"/>
            <w:vMerge w:val="continue"/>
            <w:tcBorders>
              <w:top w:val="nil"/>
              <w:left w:val="nil"/>
              <w:bottom w:val="nil"/>
              <w:right w:val="single" w:color="auto" w:sz="6" w:space="0"/>
            </w:tcBorders>
            <w:shd w:val="clear" w:color="auto" w:fill="auto"/>
            <w:vAlign w:val="center"/>
          </w:tcPr>
          <w:p w14:paraId="36D6DB9D">
            <w:pPr>
              <w:widowControl/>
              <w:jc w:val="left"/>
              <w:rPr>
                <w:rFonts w:ascii="宋体" w:hAnsi="宋体" w:eastAsia="宋体" w:cs="宋体"/>
                <w:kern w:val="0"/>
                <w:sz w:val="24"/>
                <w:szCs w:val="24"/>
              </w:rPr>
            </w:pPr>
          </w:p>
        </w:tc>
        <w:tc>
          <w:tcPr>
            <w:tcW w:w="0" w:type="auto"/>
            <w:vMerge w:val="continue"/>
            <w:tcBorders>
              <w:top w:val="nil"/>
              <w:left w:val="nil"/>
              <w:bottom w:val="nil"/>
              <w:right w:val="single" w:color="auto" w:sz="6" w:space="0"/>
            </w:tcBorders>
            <w:shd w:val="clear" w:color="auto" w:fill="auto"/>
            <w:vAlign w:val="center"/>
          </w:tcPr>
          <w:p w14:paraId="1DB56576">
            <w:pPr>
              <w:widowControl/>
              <w:jc w:val="left"/>
              <w:rPr>
                <w:rFonts w:ascii="宋体" w:hAnsi="宋体" w:eastAsia="宋体" w:cs="宋体"/>
                <w:kern w:val="0"/>
                <w:sz w:val="24"/>
                <w:szCs w:val="24"/>
              </w:rPr>
            </w:pPr>
          </w:p>
        </w:tc>
        <w:tc>
          <w:tcPr>
            <w:tcW w:w="0" w:type="auto"/>
            <w:vMerge w:val="continue"/>
            <w:tcBorders>
              <w:top w:val="nil"/>
              <w:left w:val="nil"/>
              <w:bottom w:val="nil"/>
              <w:right w:val="single" w:color="auto" w:sz="6" w:space="0"/>
            </w:tcBorders>
            <w:shd w:val="clear" w:color="auto" w:fill="auto"/>
            <w:vAlign w:val="center"/>
          </w:tcPr>
          <w:p w14:paraId="496F5B92">
            <w:pPr>
              <w:widowControl/>
              <w:jc w:val="left"/>
              <w:rPr>
                <w:rFonts w:ascii="宋体" w:hAnsi="宋体" w:eastAsia="宋体" w:cs="宋体"/>
                <w:kern w:val="0"/>
                <w:sz w:val="24"/>
                <w:szCs w:val="24"/>
              </w:rPr>
            </w:pPr>
          </w:p>
        </w:tc>
        <w:tc>
          <w:tcPr>
            <w:tcW w:w="0" w:type="auto"/>
            <w:vMerge w:val="continue"/>
            <w:tcBorders>
              <w:top w:val="nil"/>
              <w:left w:val="nil"/>
              <w:bottom w:val="nil"/>
              <w:right w:val="single" w:color="auto" w:sz="6" w:space="0"/>
            </w:tcBorders>
            <w:shd w:val="clear" w:color="auto" w:fill="auto"/>
            <w:vAlign w:val="center"/>
          </w:tcPr>
          <w:p w14:paraId="23157586">
            <w:pPr>
              <w:widowControl/>
              <w:jc w:val="left"/>
              <w:rPr>
                <w:rFonts w:ascii="宋体" w:hAnsi="宋体" w:eastAsia="宋体" w:cs="宋体"/>
                <w:kern w:val="0"/>
                <w:sz w:val="24"/>
                <w:szCs w:val="24"/>
              </w:rPr>
            </w:pPr>
          </w:p>
        </w:tc>
      </w:tr>
      <w:tr w14:paraId="114071AB">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5" w:hRule="atLeast"/>
        </w:trPr>
        <w:tc>
          <w:tcPr>
            <w:tcW w:w="0" w:type="auto"/>
            <w:vMerge w:val="continue"/>
            <w:tcBorders>
              <w:top w:val="nil"/>
              <w:left w:val="single" w:color="auto" w:sz="6" w:space="0"/>
              <w:bottom w:val="nil"/>
              <w:right w:val="single" w:color="auto" w:sz="6" w:space="0"/>
            </w:tcBorders>
            <w:shd w:val="clear" w:color="auto" w:fill="auto"/>
            <w:vAlign w:val="center"/>
          </w:tcPr>
          <w:p w14:paraId="2E679CBE">
            <w:pPr>
              <w:widowControl/>
              <w:jc w:val="left"/>
              <w:rPr>
                <w:rFonts w:ascii="宋体" w:hAnsi="宋体" w:eastAsia="宋体" w:cs="宋体"/>
                <w:kern w:val="0"/>
                <w:sz w:val="24"/>
                <w:szCs w:val="24"/>
              </w:rPr>
            </w:pPr>
          </w:p>
        </w:tc>
        <w:tc>
          <w:tcPr>
            <w:tcW w:w="0" w:type="auto"/>
            <w:vMerge w:val="continue"/>
            <w:tcBorders>
              <w:top w:val="nil"/>
              <w:left w:val="nil"/>
              <w:bottom w:val="nil"/>
              <w:right w:val="single" w:color="auto" w:sz="6" w:space="0"/>
            </w:tcBorders>
            <w:shd w:val="clear" w:color="auto" w:fill="auto"/>
            <w:vAlign w:val="center"/>
          </w:tcPr>
          <w:p w14:paraId="6855DC01">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3B2E7B7">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3、配置300T裸容量的分布式文件存储授权；</w:t>
            </w:r>
          </w:p>
        </w:tc>
        <w:tc>
          <w:tcPr>
            <w:tcW w:w="0" w:type="auto"/>
            <w:vMerge w:val="continue"/>
            <w:tcBorders>
              <w:top w:val="nil"/>
              <w:left w:val="nil"/>
              <w:bottom w:val="nil"/>
              <w:right w:val="single" w:color="auto" w:sz="6" w:space="0"/>
            </w:tcBorders>
            <w:shd w:val="clear" w:color="auto" w:fill="auto"/>
            <w:vAlign w:val="center"/>
          </w:tcPr>
          <w:p w14:paraId="4D17E7A0">
            <w:pPr>
              <w:widowControl/>
              <w:jc w:val="left"/>
              <w:rPr>
                <w:rFonts w:ascii="宋体" w:hAnsi="宋体" w:eastAsia="宋体" w:cs="宋体"/>
                <w:kern w:val="0"/>
                <w:sz w:val="24"/>
                <w:szCs w:val="24"/>
              </w:rPr>
            </w:pPr>
          </w:p>
        </w:tc>
        <w:tc>
          <w:tcPr>
            <w:tcW w:w="0" w:type="auto"/>
            <w:vMerge w:val="continue"/>
            <w:tcBorders>
              <w:top w:val="nil"/>
              <w:left w:val="nil"/>
              <w:bottom w:val="nil"/>
              <w:right w:val="single" w:color="auto" w:sz="6" w:space="0"/>
            </w:tcBorders>
            <w:shd w:val="clear" w:color="auto" w:fill="auto"/>
            <w:vAlign w:val="center"/>
          </w:tcPr>
          <w:p w14:paraId="1465A592">
            <w:pPr>
              <w:widowControl/>
              <w:jc w:val="left"/>
              <w:rPr>
                <w:rFonts w:ascii="宋体" w:hAnsi="宋体" w:eastAsia="宋体" w:cs="宋体"/>
                <w:kern w:val="0"/>
                <w:sz w:val="24"/>
                <w:szCs w:val="24"/>
              </w:rPr>
            </w:pPr>
          </w:p>
        </w:tc>
        <w:tc>
          <w:tcPr>
            <w:tcW w:w="0" w:type="auto"/>
            <w:vMerge w:val="continue"/>
            <w:tcBorders>
              <w:top w:val="nil"/>
              <w:left w:val="nil"/>
              <w:bottom w:val="nil"/>
              <w:right w:val="single" w:color="auto" w:sz="6" w:space="0"/>
            </w:tcBorders>
            <w:shd w:val="clear" w:color="auto" w:fill="auto"/>
            <w:vAlign w:val="center"/>
          </w:tcPr>
          <w:p w14:paraId="6238D8D1">
            <w:pPr>
              <w:widowControl/>
              <w:jc w:val="left"/>
              <w:rPr>
                <w:rFonts w:ascii="宋体" w:hAnsi="宋体" w:eastAsia="宋体" w:cs="宋体"/>
                <w:kern w:val="0"/>
                <w:sz w:val="24"/>
                <w:szCs w:val="24"/>
              </w:rPr>
            </w:pPr>
          </w:p>
        </w:tc>
        <w:tc>
          <w:tcPr>
            <w:tcW w:w="0" w:type="auto"/>
            <w:vMerge w:val="continue"/>
            <w:tcBorders>
              <w:top w:val="nil"/>
              <w:left w:val="nil"/>
              <w:bottom w:val="nil"/>
              <w:right w:val="single" w:color="auto" w:sz="6" w:space="0"/>
            </w:tcBorders>
            <w:shd w:val="clear" w:color="auto" w:fill="auto"/>
            <w:vAlign w:val="center"/>
          </w:tcPr>
          <w:p w14:paraId="1786E62C">
            <w:pPr>
              <w:widowControl/>
              <w:jc w:val="left"/>
              <w:rPr>
                <w:rFonts w:ascii="宋体" w:hAnsi="宋体" w:eastAsia="宋体" w:cs="宋体"/>
                <w:kern w:val="0"/>
                <w:sz w:val="24"/>
                <w:szCs w:val="24"/>
              </w:rPr>
            </w:pPr>
          </w:p>
        </w:tc>
      </w:tr>
      <w:tr w14:paraId="3D093FAD">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5" w:hRule="atLeast"/>
        </w:trPr>
        <w:tc>
          <w:tcPr>
            <w:tcW w:w="0" w:type="auto"/>
            <w:vMerge w:val="continue"/>
            <w:tcBorders>
              <w:top w:val="nil"/>
              <w:left w:val="single" w:color="auto" w:sz="6" w:space="0"/>
              <w:bottom w:val="nil"/>
              <w:right w:val="single" w:color="auto" w:sz="6" w:space="0"/>
            </w:tcBorders>
            <w:shd w:val="clear" w:color="auto" w:fill="auto"/>
            <w:vAlign w:val="center"/>
          </w:tcPr>
          <w:p w14:paraId="65DEAC3C">
            <w:pPr>
              <w:widowControl/>
              <w:jc w:val="left"/>
              <w:rPr>
                <w:rFonts w:ascii="宋体" w:hAnsi="宋体" w:eastAsia="宋体" w:cs="宋体"/>
                <w:kern w:val="0"/>
                <w:sz w:val="24"/>
                <w:szCs w:val="24"/>
              </w:rPr>
            </w:pPr>
          </w:p>
        </w:tc>
        <w:tc>
          <w:tcPr>
            <w:tcW w:w="0" w:type="auto"/>
            <w:vMerge w:val="continue"/>
            <w:tcBorders>
              <w:top w:val="nil"/>
              <w:left w:val="nil"/>
              <w:bottom w:val="nil"/>
              <w:right w:val="single" w:color="auto" w:sz="6" w:space="0"/>
            </w:tcBorders>
            <w:shd w:val="clear" w:color="auto" w:fill="auto"/>
            <w:vAlign w:val="center"/>
          </w:tcPr>
          <w:p w14:paraId="32EB113B">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3A9AF12">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4、支持多副本保护机制，可选择2~6副本，允许用户设置副本数量；</w:t>
            </w:r>
          </w:p>
        </w:tc>
        <w:tc>
          <w:tcPr>
            <w:tcW w:w="0" w:type="auto"/>
            <w:vMerge w:val="continue"/>
            <w:tcBorders>
              <w:top w:val="nil"/>
              <w:left w:val="nil"/>
              <w:bottom w:val="nil"/>
              <w:right w:val="single" w:color="auto" w:sz="6" w:space="0"/>
            </w:tcBorders>
            <w:shd w:val="clear" w:color="auto" w:fill="auto"/>
            <w:vAlign w:val="center"/>
          </w:tcPr>
          <w:p w14:paraId="53979ECC">
            <w:pPr>
              <w:widowControl/>
              <w:jc w:val="left"/>
              <w:rPr>
                <w:rFonts w:ascii="宋体" w:hAnsi="宋体" w:eastAsia="宋体" w:cs="宋体"/>
                <w:kern w:val="0"/>
                <w:sz w:val="24"/>
                <w:szCs w:val="24"/>
              </w:rPr>
            </w:pPr>
          </w:p>
        </w:tc>
        <w:tc>
          <w:tcPr>
            <w:tcW w:w="0" w:type="auto"/>
            <w:vMerge w:val="continue"/>
            <w:tcBorders>
              <w:top w:val="nil"/>
              <w:left w:val="nil"/>
              <w:bottom w:val="nil"/>
              <w:right w:val="single" w:color="auto" w:sz="6" w:space="0"/>
            </w:tcBorders>
            <w:shd w:val="clear" w:color="auto" w:fill="auto"/>
            <w:vAlign w:val="center"/>
          </w:tcPr>
          <w:p w14:paraId="47DD507E">
            <w:pPr>
              <w:widowControl/>
              <w:jc w:val="left"/>
              <w:rPr>
                <w:rFonts w:ascii="宋体" w:hAnsi="宋体" w:eastAsia="宋体" w:cs="宋体"/>
                <w:kern w:val="0"/>
                <w:sz w:val="24"/>
                <w:szCs w:val="24"/>
              </w:rPr>
            </w:pPr>
          </w:p>
        </w:tc>
        <w:tc>
          <w:tcPr>
            <w:tcW w:w="0" w:type="auto"/>
            <w:vMerge w:val="continue"/>
            <w:tcBorders>
              <w:top w:val="nil"/>
              <w:left w:val="nil"/>
              <w:bottom w:val="nil"/>
              <w:right w:val="single" w:color="auto" w:sz="6" w:space="0"/>
            </w:tcBorders>
            <w:shd w:val="clear" w:color="auto" w:fill="auto"/>
            <w:vAlign w:val="center"/>
          </w:tcPr>
          <w:p w14:paraId="5160E6F3">
            <w:pPr>
              <w:widowControl/>
              <w:jc w:val="left"/>
              <w:rPr>
                <w:rFonts w:ascii="宋体" w:hAnsi="宋体" w:eastAsia="宋体" w:cs="宋体"/>
                <w:kern w:val="0"/>
                <w:sz w:val="24"/>
                <w:szCs w:val="24"/>
              </w:rPr>
            </w:pPr>
          </w:p>
        </w:tc>
        <w:tc>
          <w:tcPr>
            <w:tcW w:w="0" w:type="auto"/>
            <w:vMerge w:val="continue"/>
            <w:tcBorders>
              <w:top w:val="nil"/>
              <w:left w:val="nil"/>
              <w:bottom w:val="nil"/>
              <w:right w:val="single" w:color="auto" w:sz="6" w:space="0"/>
            </w:tcBorders>
            <w:shd w:val="clear" w:color="auto" w:fill="auto"/>
            <w:vAlign w:val="center"/>
          </w:tcPr>
          <w:p w14:paraId="6EC5EE5D">
            <w:pPr>
              <w:widowControl/>
              <w:jc w:val="left"/>
              <w:rPr>
                <w:rFonts w:ascii="宋体" w:hAnsi="宋体" w:eastAsia="宋体" w:cs="宋体"/>
                <w:kern w:val="0"/>
                <w:sz w:val="24"/>
                <w:szCs w:val="24"/>
              </w:rPr>
            </w:pPr>
          </w:p>
        </w:tc>
      </w:tr>
      <w:tr w14:paraId="3894D7D5">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5" w:hRule="atLeast"/>
        </w:trPr>
        <w:tc>
          <w:tcPr>
            <w:tcW w:w="0" w:type="auto"/>
            <w:vMerge w:val="continue"/>
            <w:tcBorders>
              <w:top w:val="nil"/>
              <w:left w:val="single" w:color="auto" w:sz="6" w:space="0"/>
              <w:bottom w:val="nil"/>
              <w:right w:val="single" w:color="auto" w:sz="6" w:space="0"/>
            </w:tcBorders>
            <w:shd w:val="clear" w:color="auto" w:fill="auto"/>
            <w:vAlign w:val="center"/>
          </w:tcPr>
          <w:p w14:paraId="451F5DB1">
            <w:pPr>
              <w:widowControl/>
              <w:jc w:val="left"/>
              <w:rPr>
                <w:rFonts w:ascii="宋体" w:hAnsi="宋体" w:eastAsia="宋体" w:cs="宋体"/>
                <w:kern w:val="0"/>
                <w:sz w:val="24"/>
                <w:szCs w:val="24"/>
              </w:rPr>
            </w:pPr>
          </w:p>
        </w:tc>
        <w:tc>
          <w:tcPr>
            <w:tcW w:w="0" w:type="auto"/>
            <w:vMerge w:val="continue"/>
            <w:tcBorders>
              <w:top w:val="nil"/>
              <w:left w:val="nil"/>
              <w:bottom w:val="nil"/>
              <w:right w:val="single" w:color="auto" w:sz="6" w:space="0"/>
            </w:tcBorders>
            <w:shd w:val="clear" w:color="auto" w:fill="auto"/>
            <w:vAlign w:val="center"/>
          </w:tcPr>
          <w:p w14:paraId="07DC629D">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43AD1ED">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5、支持N+1到N+4的纠删码保护；</w:t>
            </w:r>
          </w:p>
        </w:tc>
        <w:tc>
          <w:tcPr>
            <w:tcW w:w="0" w:type="auto"/>
            <w:vMerge w:val="continue"/>
            <w:tcBorders>
              <w:top w:val="nil"/>
              <w:left w:val="nil"/>
              <w:bottom w:val="nil"/>
              <w:right w:val="single" w:color="auto" w:sz="6" w:space="0"/>
            </w:tcBorders>
            <w:shd w:val="clear" w:color="auto" w:fill="auto"/>
            <w:vAlign w:val="center"/>
          </w:tcPr>
          <w:p w14:paraId="2BBF89D4">
            <w:pPr>
              <w:widowControl/>
              <w:jc w:val="left"/>
              <w:rPr>
                <w:rFonts w:ascii="宋体" w:hAnsi="宋体" w:eastAsia="宋体" w:cs="宋体"/>
                <w:kern w:val="0"/>
                <w:sz w:val="24"/>
                <w:szCs w:val="24"/>
              </w:rPr>
            </w:pPr>
          </w:p>
        </w:tc>
        <w:tc>
          <w:tcPr>
            <w:tcW w:w="0" w:type="auto"/>
            <w:vMerge w:val="continue"/>
            <w:tcBorders>
              <w:top w:val="nil"/>
              <w:left w:val="nil"/>
              <w:bottom w:val="nil"/>
              <w:right w:val="single" w:color="auto" w:sz="6" w:space="0"/>
            </w:tcBorders>
            <w:shd w:val="clear" w:color="auto" w:fill="auto"/>
            <w:vAlign w:val="center"/>
          </w:tcPr>
          <w:p w14:paraId="44311C16">
            <w:pPr>
              <w:widowControl/>
              <w:jc w:val="left"/>
              <w:rPr>
                <w:rFonts w:ascii="宋体" w:hAnsi="宋体" w:eastAsia="宋体" w:cs="宋体"/>
                <w:kern w:val="0"/>
                <w:sz w:val="24"/>
                <w:szCs w:val="24"/>
              </w:rPr>
            </w:pPr>
          </w:p>
        </w:tc>
        <w:tc>
          <w:tcPr>
            <w:tcW w:w="0" w:type="auto"/>
            <w:vMerge w:val="continue"/>
            <w:tcBorders>
              <w:top w:val="nil"/>
              <w:left w:val="nil"/>
              <w:bottom w:val="nil"/>
              <w:right w:val="single" w:color="auto" w:sz="6" w:space="0"/>
            </w:tcBorders>
            <w:shd w:val="clear" w:color="auto" w:fill="auto"/>
            <w:vAlign w:val="center"/>
          </w:tcPr>
          <w:p w14:paraId="444BC4CA">
            <w:pPr>
              <w:widowControl/>
              <w:jc w:val="left"/>
              <w:rPr>
                <w:rFonts w:ascii="宋体" w:hAnsi="宋体" w:eastAsia="宋体" w:cs="宋体"/>
                <w:kern w:val="0"/>
                <w:sz w:val="24"/>
                <w:szCs w:val="24"/>
              </w:rPr>
            </w:pPr>
          </w:p>
        </w:tc>
        <w:tc>
          <w:tcPr>
            <w:tcW w:w="0" w:type="auto"/>
            <w:vMerge w:val="continue"/>
            <w:tcBorders>
              <w:top w:val="nil"/>
              <w:left w:val="nil"/>
              <w:bottom w:val="nil"/>
              <w:right w:val="single" w:color="auto" w:sz="6" w:space="0"/>
            </w:tcBorders>
            <w:shd w:val="clear" w:color="auto" w:fill="auto"/>
            <w:vAlign w:val="center"/>
          </w:tcPr>
          <w:p w14:paraId="10EC803B">
            <w:pPr>
              <w:widowControl/>
              <w:jc w:val="left"/>
              <w:rPr>
                <w:rFonts w:ascii="宋体" w:hAnsi="宋体" w:eastAsia="宋体" w:cs="宋体"/>
                <w:kern w:val="0"/>
                <w:sz w:val="24"/>
                <w:szCs w:val="24"/>
              </w:rPr>
            </w:pPr>
          </w:p>
        </w:tc>
      </w:tr>
      <w:tr w14:paraId="7B5833F0">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5" w:hRule="atLeast"/>
        </w:trPr>
        <w:tc>
          <w:tcPr>
            <w:tcW w:w="0" w:type="auto"/>
            <w:vMerge w:val="continue"/>
            <w:tcBorders>
              <w:top w:val="nil"/>
              <w:left w:val="single" w:color="auto" w:sz="6" w:space="0"/>
              <w:bottom w:val="nil"/>
              <w:right w:val="single" w:color="auto" w:sz="6" w:space="0"/>
            </w:tcBorders>
            <w:shd w:val="clear" w:color="auto" w:fill="auto"/>
            <w:vAlign w:val="center"/>
          </w:tcPr>
          <w:p w14:paraId="58E919EE">
            <w:pPr>
              <w:widowControl/>
              <w:jc w:val="left"/>
              <w:rPr>
                <w:rFonts w:ascii="宋体" w:hAnsi="宋体" w:eastAsia="宋体" w:cs="宋体"/>
                <w:kern w:val="0"/>
                <w:sz w:val="24"/>
                <w:szCs w:val="24"/>
              </w:rPr>
            </w:pPr>
          </w:p>
        </w:tc>
        <w:tc>
          <w:tcPr>
            <w:tcW w:w="0" w:type="auto"/>
            <w:vMerge w:val="continue"/>
            <w:tcBorders>
              <w:top w:val="nil"/>
              <w:left w:val="nil"/>
              <w:bottom w:val="nil"/>
              <w:right w:val="single" w:color="auto" w:sz="6" w:space="0"/>
            </w:tcBorders>
            <w:shd w:val="clear" w:color="auto" w:fill="auto"/>
            <w:vAlign w:val="center"/>
          </w:tcPr>
          <w:p w14:paraId="6B0D738D">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169FBEF">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6、支持CIFS/NFS跨协议访问，兼容SMB、NFS协议；</w:t>
            </w:r>
          </w:p>
        </w:tc>
        <w:tc>
          <w:tcPr>
            <w:tcW w:w="0" w:type="auto"/>
            <w:vMerge w:val="continue"/>
            <w:tcBorders>
              <w:top w:val="nil"/>
              <w:left w:val="nil"/>
              <w:bottom w:val="nil"/>
              <w:right w:val="single" w:color="auto" w:sz="6" w:space="0"/>
            </w:tcBorders>
            <w:shd w:val="clear" w:color="auto" w:fill="auto"/>
            <w:vAlign w:val="center"/>
          </w:tcPr>
          <w:p w14:paraId="4BDB1BD0">
            <w:pPr>
              <w:widowControl/>
              <w:jc w:val="left"/>
              <w:rPr>
                <w:rFonts w:ascii="宋体" w:hAnsi="宋体" w:eastAsia="宋体" w:cs="宋体"/>
                <w:kern w:val="0"/>
                <w:sz w:val="24"/>
                <w:szCs w:val="24"/>
              </w:rPr>
            </w:pPr>
          </w:p>
        </w:tc>
        <w:tc>
          <w:tcPr>
            <w:tcW w:w="0" w:type="auto"/>
            <w:vMerge w:val="continue"/>
            <w:tcBorders>
              <w:top w:val="nil"/>
              <w:left w:val="nil"/>
              <w:bottom w:val="nil"/>
              <w:right w:val="single" w:color="auto" w:sz="6" w:space="0"/>
            </w:tcBorders>
            <w:shd w:val="clear" w:color="auto" w:fill="auto"/>
            <w:vAlign w:val="center"/>
          </w:tcPr>
          <w:p w14:paraId="20CC25CD">
            <w:pPr>
              <w:widowControl/>
              <w:jc w:val="left"/>
              <w:rPr>
                <w:rFonts w:ascii="宋体" w:hAnsi="宋体" w:eastAsia="宋体" w:cs="宋体"/>
                <w:kern w:val="0"/>
                <w:sz w:val="24"/>
                <w:szCs w:val="24"/>
              </w:rPr>
            </w:pPr>
          </w:p>
        </w:tc>
        <w:tc>
          <w:tcPr>
            <w:tcW w:w="0" w:type="auto"/>
            <w:vMerge w:val="continue"/>
            <w:tcBorders>
              <w:top w:val="nil"/>
              <w:left w:val="nil"/>
              <w:bottom w:val="nil"/>
              <w:right w:val="single" w:color="auto" w:sz="6" w:space="0"/>
            </w:tcBorders>
            <w:shd w:val="clear" w:color="auto" w:fill="auto"/>
            <w:vAlign w:val="center"/>
          </w:tcPr>
          <w:p w14:paraId="53EE4755">
            <w:pPr>
              <w:widowControl/>
              <w:jc w:val="left"/>
              <w:rPr>
                <w:rFonts w:ascii="宋体" w:hAnsi="宋体" w:eastAsia="宋体" w:cs="宋体"/>
                <w:kern w:val="0"/>
                <w:sz w:val="24"/>
                <w:szCs w:val="24"/>
              </w:rPr>
            </w:pPr>
          </w:p>
        </w:tc>
        <w:tc>
          <w:tcPr>
            <w:tcW w:w="0" w:type="auto"/>
            <w:vMerge w:val="continue"/>
            <w:tcBorders>
              <w:top w:val="nil"/>
              <w:left w:val="nil"/>
              <w:bottom w:val="nil"/>
              <w:right w:val="single" w:color="auto" w:sz="6" w:space="0"/>
            </w:tcBorders>
            <w:shd w:val="clear" w:color="auto" w:fill="auto"/>
            <w:vAlign w:val="center"/>
          </w:tcPr>
          <w:p w14:paraId="21D730BD">
            <w:pPr>
              <w:widowControl/>
              <w:jc w:val="left"/>
              <w:rPr>
                <w:rFonts w:ascii="宋体" w:hAnsi="宋体" w:eastAsia="宋体" w:cs="宋体"/>
                <w:kern w:val="0"/>
                <w:sz w:val="24"/>
                <w:szCs w:val="24"/>
              </w:rPr>
            </w:pPr>
          </w:p>
        </w:tc>
      </w:tr>
      <w:tr w14:paraId="0D57866A">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5" w:hRule="atLeast"/>
        </w:trPr>
        <w:tc>
          <w:tcPr>
            <w:tcW w:w="0" w:type="auto"/>
            <w:vMerge w:val="continue"/>
            <w:tcBorders>
              <w:top w:val="nil"/>
              <w:left w:val="single" w:color="auto" w:sz="6" w:space="0"/>
              <w:bottom w:val="nil"/>
              <w:right w:val="single" w:color="auto" w:sz="6" w:space="0"/>
            </w:tcBorders>
            <w:shd w:val="clear" w:color="auto" w:fill="auto"/>
            <w:vAlign w:val="center"/>
          </w:tcPr>
          <w:p w14:paraId="5D4E63C7">
            <w:pPr>
              <w:widowControl/>
              <w:jc w:val="left"/>
              <w:rPr>
                <w:rFonts w:ascii="宋体" w:hAnsi="宋体" w:eastAsia="宋体" w:cs="宋体"/>
                <w:kern w:val="0"/>
                <w:sz w:val="24"/>
                <w:szCs w:val="24"/>
              </w:rPr>
            </w:pPr>
          </w:p>
        </w:tc>
        <w:tc>
          <w:tcPr>
            <w:tcW w:w="0" w:type="auto"/>
            <w:vMerge w:val="continue"/>
            <w:tcBorders>
              <w:top w:val="nil"/>
              <w:left w:val="nil"/>
              <w:bottom w:val="nil"/>
              <w:right w:val="single" w:color="auto" w:sz="6" w:space="0"/>
            </w:tcBorders>
            <w:shd w:val="clear" w:color="auto" w:fill="auto"/>
            <w:vAlign w:val="center"/>
          </w:tcPr>
          <w:p w14:paraId="05CC43C8">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45AC3C8">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7、支持配额管理功能，包括目录配额、用户配额、容量配额、文件数配额、计算配额、强制配额等。</w:t>
            </w:r>
          </w:p>
        </w:tc>
        <w:tc>
          <w:tcPr>
            <w:tcW w:w="0" w:type="auto"/>
            <w:vMerge w:val="continue"/>
            <w:tcBorders>
              <w:top w:val="nil"/>
              <w:left w:val="nil"/>
              <w:bottom w:val="nil"/>
              <w:right w:val="single" w:color="auto" w:sz="6" w:space="0"/>
            </w:tcBorders>
            <w:shd w:val="clear" w:color="auto" w:fill="auto"/>
            <w:vAlign w:val="center"/>
          </w:tcPr>
          <w:p w14:paraId="7BDFBF78">
            <w:pPr>
              <w:widowControl/>
              <w:jc w:val="left"/>
              <w:rPr>
                <w:rFonts w:ascii="宋体" w:hAnsi="宋体" w:eastAsia="宋体" w:cs="宋体"/>
                <w:kern w:val="0"/>
                <w:sz w:val="24"/>
                <w:szCs w:val="24"/>
              </w:rPr>
            </w:pPr>
          </w:p>
        </w:tc>
        <w:tc>
          <w:tcPr>
            <w:tcW w:w="0" w:type="auto"/>
            <w:vMerge w:val="continue"/>
            <w:tcBorders>
              <w:top w:val="nil"/>
              <w:left w:val="nil"/>
              <w:bottom w:val="nil"/>
              <w:right w:val="single" w:color="auto" w:sz="6" w:space="0"/>
            </w:tcBorders>
            <w:shd w:val="clear" w:color="auto" w:fill="auto"/>
            <w:vAlign w:val="center"/>
          </w:tcPr>
          <w:p w14:paraId="2C4C68A0">
            <w:pPr>
              <w:widowControl/>
              <w:jc w:val="left"/>
              <w:rPr>
                <w:rFonts w:ascii="宋体" w:hAnsi="宋体" w:eastAsia="宋体" w:cs="宋体"/>
                <w:kern w:val="0"/>
                <w:sz w:val="24"/>
                <w:szCs w:val="24"/>
              </w:rPr>
            </w:pPr>
          </w:p>
        </w:tc>
        <w:tc>
          <w:tcPr>
            <w:tcW w:w="0" w:type="auto"/>
            <w:vMerge w:val="continue"/>
            <w:tcBorders>
              <w:top w:val="nil"/>
              <w:left w:val="nil"/>
              <w:bottom w:val="nil"/>
              <w:right w:val="single" w:color="auto" w:sz="6" w:space="0"/>
            </w:tcBorders>
            <w:shd w:val="clear" w:color="auto" w:fill="auto"/>
            <w:vAlign w:val="center"/>
          </w:tcPr>
          <w:p w14:paraId="65F60330">
            <w:pPr>
              <w:widowControl/>
              <w:jc w:val="left"/>
              <w:rPr>
                <w:rFonts w:ascii="宋体" w:hAnsi="宋体" w:eastAsia="宋体" w:cs="宋体"/>
                <w:kern w:val="0"/>
                <w:sz w:val="24"/>
                <w:szCs w:val="24"/>
              </w:rPr>
            </w:pPr>
          </w:p>
        </w:tc>
        <w:tc>
          <w:tcPr>
            <w:tcW w:w="0" w:type="auto"/>
            <w:vMerge w:val="continue"/>
            <w:tcBorders>
              <w:top w:val="nil"/>
              <w:left w:val="nil"/>
              <w:bottom w:val="nil"/>
              <w:right w:val="single" w:color="auto" w:sz="6" w:space="0"/>
            </w:tcBorders>
            <w:shd w:val="clear" w:color="auto" w:fill="auto"/>
            <w:vAlign w:val="center"/>
          </w:tcPr>
          <w:p w14:paraId="6862DA76">
            <w:pPr>
              <w:widowControl/>
              <w:jc w:val="left"/>
              <w:rPr>
                <w:rFonts w:ascii="宋体" w:hAnsi="宋体" w:eastAsia="宋体" w:cs="宋体"/>
                <w:kern w:val="0"/>
                <w:sz w:val="24"/>
                <w:szCs w:val="24"/>
              </w:rPr>
            </w:pPr>
          </w:p>
        </w:tc>
      </w:tr>
      <w:tr w14:paraId="21C81ED5">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PrEx>
        <w:trPr>
          <w:trHeight w:val="15" w:hRule="atLeast"/>
        </w:trPr>
        <w:tc>
          <w:tcPr>
            <w:tcW w:w="0" w:type="auto"/>
            <w:vMerge w:val="restart"/>
            <w:tcBorders>
              <w:top w:val="single" w:color="auto" w:sz="6" w:space="0"/>
              <w:left w:val="single" w:color="auto" w:sz="6" w:space="0"/>
              <w:bottom w:val="nil"/>
              <w:right w:val="single" w:color="auto" w:sz="6" w:space="0"/>
            </w:tcBorders>
            <w:shd w:val="clear" w:color="auto" w:fill="FFFFFF"/>
            <w:tcMar>
              <w:top w:w="0" w:type="dxa"/>
              <w:left w:w="105" w:type="dxa"/>
              <w:bottom w:w="0" w:type="dxa"/>
              <w:right w:w="105" w:type="dxa"/>
            </w:tcMar>
            <w:vAlign w:val="center"/>
          </w:tcPr>
          <w:p w14:paraId="5E1D753A">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15</w:t>
            </w:r>
          </w:p>
        </w:tc>
        <w:tc>
          <w:tcPr>
            <w:tcW w:w="0" w:type="auto"/>
            <w:vMerge w:val="restart"/>
            <w:tcBorders>
              <w:top w:val="single" w:color="auto" w:sz="6" w:space="0"/>
              <w:left w:val="nil"/>
              <w:bottom w:val="nil"/>
              <w:right w:val="single" w:color="auto" w:sz="6" w:space="0"/>
            </w:tcBorders>
            <w:shd w:val="clear" w:color="auto" w:fill="FFFFFF"/>
            <w:tcMar>
              <w:top w:w="0" w:type="dxa"/>
              <w:left w:w="105" w:type="dxa"/>
              <w:bottom w:w="0" w:type="dxa"/>
              <w:right w:w="105" w:type="dxa"/>
            </w:tcMar>
            <w:vAlign w:val="center"/>
          </w:tcPr>
          <w:p w14:paraId="1D19B040">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分布式对象存储授权</w:t>
            </w: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FA879F5">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4"/>
                <w:szCs w:val="24"/>
              </w:rPr>
              <w:t>满足实际部署硬件数量要求的授权许可。</w:t>
            </w:r>
          </w:p>
        </w:tc>
        <w:tc>
          <w:tcPr>
            <w:tcW w:w="0" w:type="auto"/>
            <w:vMerge w:val="restart"/>
            <w:tcBorders>
              <w:top w:val="single" w:color="auto" w:sz="6" w:space="0"/>
              <w:left w:val="nil"/>
              <w:bottom w:val="nil"/>
              <w:right w:val="single" w:color="auto" w:sz="6" w:space="0"/>
            </w:tcBorders>
            <w:shd w:val="clear" w:color="auto" w:fill="FFFFFF"/>
            <w:tcMar>
              <w:top w:w="0" w:type="dxa"/>
              <w:left w:w="105" w:type="dxa"/>
              <w:bottom w:w="0" w:type="dxa"/>
              <w:right w:w="105" w:type="dxa"/>
            </w:tcMar>
            <w:vAlign w:val="center"/>
          </w:tcPr>
          <w:p w14:paraId="34A1731E">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套</w:t>
            </w:r>
          </w:p>
        </w:tc>
        <w:tc>
          <w:tcPr>
            <w:tcW w:w="0" w:type="auto"/>
            <w:vMerge w:val="restart"/>
            <w:tcBorders>
              <w:top w:val="single" w:color="auto" w:sz="6" w:space="0"/>
              <w:left w:val="nil"/>
              <w:bottom w:val="nil"/>
              <w:right w:val="single" w:color="auto" w:sz="6" w:space="0"/>
            </w:tcBorders>
            <w:shd w:val="clear" w:color="auto" w:fill="FFFFFF"/>
            <w:tcMar>
              <w:top w:w="0" w:type="dxa"/>
              <w:left w:w="105" w:type="dxa"/>
              <w:bottom w:w="0" w:type="dxa"/>
              <w:right w:w="105" w:type="dxa"/>
            </w:tcMar>
            <w:vAlign w:val="center"/>
          </w:tcPr>
          <w:p w14:paraId="18E26085">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1</w:t>
            </w:r>
          </w:p>
        </w:tc>
        <w:tc>
          <w:tcPr>
            <w:tcW w:w="0" w:type="auto"/>
            <w:vMerge w:val="restart"/>
            <w:tcBorders>
              <w:top w:val="single" w:color="auto" w:sz="6" w:space="0"/>
              <w:left w:val="nil"/>
              <w:bottom w:val="nil"/>
              <w:right w:val="single" w:color="auto" w:sz="6" w:space="0"/>
            </w:tcBorders>
            <w:shd w:val="clear" w:color="auto" w:fill="FFFFFF"/>
            <w:tcMar>
              <w:top w:w="0" w:type="dxa"/>
              <w:left w:w="105" w:type="dxa"/>
              <w:bottom w:w="0" w:type="dxa"/>
              <w:right w:w="105" w:type="dxa"/>
            </w:tcMar>
            <w:vAlign w:val="center"/>
          </w:tcPr>
          <w:p w14:paraId="3B0B1B42">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1</w:t>
            </w:r>
          </w:p>
        </w:tc>
        <w:tc>
          <w:tcPr>
            <w:tcW w:w="0" w:type="auto"/>
            <w:vMerge w:val="restart"/>
            <w:tcBorders>
              <w:top w:val="single" w:color="auto" w:sz="6" w:space="0"/>
              <w:left w:val="nil"/>
              <w:bottom w:val="nil"/>
              <w:right w:val="single" w:color="auto" w:sz="6" w:space="0"/>
            </w:tcBorders>
            <w:shd w:val="clear" w:color="auto" w:fill="FFFFFF"/>
            <w:tcMar>
              <w:top w:w="0" w:type="dxa"/>
              <w:left w:w="105" w:type="dxa"/>
              <w:bottom w:w="0" w:type="dxa"/>
              <w:right w:w="105" w:type="dxa"/>
            </w:tcMar>
            <w:vAlign w:val="center"/>
          </w:tcPr>
          <w:p w14:paraId="290D5A08">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2</w:t>
            </w:r>
          </w:p>
        </w:tc>
      </w:tr>
      <w:tr w14:paraId="07D79284">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5" w:hRule="atLeast"/>
        </w:trPr>
        <w:tc>
          <w:tcPr>
            <w:tcW w:w="0" w:type="auto"/>
            <w:vMerge w:val="continue"/>
            <w:tcBorders>
              <w:top w:val="single" w:color="auto" w:sz="6" w:space="0"/>
              <w:left w:val="single" w:color="auto" w:sz="6" w:space="0"/>
              <w:bottom w:val="nil"/>
              <w:right w:val="single" w:color="auto" w:sz="6" w:space="0"/>
            </w:tcBorders>
            <w:shd w:val="clear" w:color="auto" w:fill="auto"/>
            <w:vAlign w:val="center"/>
          </w:tcPr>
          <w:p w14:paraId="51C50F64">
            <w:pPr>
              <w:widowControl/>
              <w:jc w:val="left"/>
              <w:rPr>
                <w:rFonts w:ascii="宋体" w:hAnsi="宋体" w:eastAsia="宋体" w:cs="宋体"/>
                <w:kern w:val="0"/>
                <w:sz w:val="24"/>
                <w:szCs w:val="24"/>
              </w:rPr>
            </w:pPr>
          </w:p>
        </w:tc>
        <w:tc>
          <w:tcPr>
            <w:tcW w:w="0" w:type="auto"/>
            <w:vMerge w:val="continue"/>
            <w:tcBorders>
              <w:top w:val="single" w:color="auto" w:sz="6" w:space="0"/>
              <w:left w:val="nil"/>
              <w:bottom w:val="nil"/>
              <w:right w:val="single" w:color="auto" w:sz="6" w:space="0"/>
            </w:tcBorders>
            <w:shd w:val="clear" w:color="auto" w:fill="auto"/>
            <w:vAlign w:val="center"/>
          </w:tcPr>
          <w:p w14:paraId="594ED4A0">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DCB3D3B">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1、满足《医疗保障信息平台云计算平台规范》和《进一步做好医保信息平台建设有关工作的通知》的要求，新增的存储节点需在原有分布式存储的基础上进行平滑扩展，并将原有的存储数据在短时间内均衡到新增的节点上。</w:t>
            </w:r>
          </w:p>
        </w:tc>
        <w:tc>
          <w:tcPr>
            <w:tcW w:w="0" w:type="auto"/>
            <w:vMerge w:val="continue"/>
            <w:tcBorders>
              <w:top w:val="single" w:color="auto" w:sz="6" w:space="0"/>
              <w:left w:val="nil"/>
              <w:bottom w:val="nil"/>
              <w:right w:val="single" w:color="auto" w:sz="6" w:space="0"/>
            </w:tcBorders>
            <w:shd w:val="clear" w:color="auto" w:fill="auto"/>
            <w:vAlign w:val="center"/>
          </w:tcPr>
          <w:p w14:paraId="21EDB118">
            <w:pPr>
              <w:widowControl/>
              <w:jc w:val="left"/>
              <w:rPr>
                <w:rFonts w:ascii="宋体" w:hAnsi="宋体" w:eastAsia="宋体" w:cs="宋体"/>
                <w:kern w:val="0"/>
                <w:sz w:val="24"/>
                <w:szCs w:val="24"/>
              </w:rPr>
            </w:pPr>
          </w:p>
        </w:tc>
        <w:tc>
          <w:tcPr>
            <w:tcW w:w="0" w:type="auto"/>
            <w:vMerge w:val="continue"/>
            <w:tcBorders>
              <w:top w:val="single" w:color="auto" w:sz="6" w:space="0"/>
              <w:left w:val="nil"/>
              <w:bottom w:val="nil"/>
              <w:right w:val="single" w:color="auto" w:sz="6" w:space="0"/>
            </w:tcBorders>
            <w:shd w:val="clear" w:color="auto" w:fill="auto"/>
            <w:vAlign w:val="center"/>
          </w:tcPr>
          <w:p w14:paraId="37585378">
            <w:pPr>
              <w:widowControl/>
              <w:jc w:val="left"/>
              <w:rPr>
                <w:rFonts w:ascii="宋体" w:hAnsi="宋体" w:eastAsia="宋体" w:cs="宋体"/>
                <w:kern w:val="0"/>
                <w:sz w:val="24"/>
                <w:szCs w:val="24"/>
              </w:rPr>
            </w:pPr>
          </w:p>
        </w:tc>
        <w:tc>
          <w:tcPr>
            <w:tcW w:w="0" w:type="auto"/>
            <w:vMerge w:val="continue"/>
            <w:tcBorders>
              <w:top w:val="single" w:color="auto" w:sz="6" w:space="0"/>
              <w:left w:val="nil"/>
              <w:bottom w:val="nil"/>
              <w:right w:val="single" w:color="auto" w:sz="6" w:space="0"/>
            </w:tcBorders>
            <w:shd w:val="clear" w:color="auto" w:fill="auto"/>
            <w:vAlign w:val="center"/>
          </w:tcPr>
          <w:p w14:paraId="4080B66D">
            <w:pPr>
              <w:widowControl/>
              <w:jc w:val="left"/>
              <w:rPr>
                <w:rFonts w:ascii="宋体" w:hAnsi="宋体" w:eastAsia="宋体" w:cs="宋体"/>
                <w:kern w:val="0"/>
                <w:sz w:val="24"/>
                <w:szCs w:val="24"/>
              </w:rPr>
            </w:pPr>
          </w:p>
        </w:tc>
        <w:tc>
          <w:tcPr>
            <w:tcW w:w="0" w:type="auto"/>
            <w:vMerge w:val="continue"/>
            <w:tcBorders>
              <w:top w:val="single" w:color="auto" w:sz="6" w:space="0"/>
              <w:left w:val="nil"/>
              <w:bottom w:val="nil"/>
              <w:right w:val="single" w:color="auto" w:sz="6" w:space="0"/>
            </w:tcBorders>
            <w:shd w:val="clear" w:color="auto" w:fill="auto"/>
            <w:vAlign w:val="center"/>
          </w:tcPr>
          <w:p w14:paraId="3D86AB23">
            <w:pPr>
              <w:widowControl/>
              <w:jc w:val="left"/>
              <w:rPr>
                <w:rFonts w:ascii="宋体" w:hAnsi="宋体" w:eastAsia="宋体" w:cs="宋体"/>
                <w:kern w:val="0"/>
                <w:sz w:val="24"/>
                <w:szCs w:val="24"/>
              </w:rPr>
            </w:pPr>
          </w:p>
        </w:tc>
      </w:tr>
      <w:tr w14:paraId="262E0EBC">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5" w:hRule="atLeast"/>
        </w:trPr>
        <w:tc>
          <w:tcPr>
            <w:tcW w:w="0" w:type="auto"/>
            <w:vMerge w:val="continue"/>
            <w:tcBorders>
              <w:top w:val="single" w:color="auto" w:sz="6" w:space="0"/>
              <w:left w:val="single" w:color="auto" w:sz="6" w:space="0"/>
              <w:bottom w:val="nil"/>
              <w:right w:val="single" w:color="auto" w:sz="6" w:space="0"/>
            </w:tcBorders>
            <w:shd w:val="clear" w:color="auto" w:fill="auto"/>
            <w:vAlign w:val="center"/>
          </w:tcPr>
          <w:p w14:paraId="7B8C0BFC">
            <w:pPr>
              <w:widowControl/>
              <w:jc w:val="left"/>
              <w:rPr>
                <w:rFonts w:ascii="宋体" w:hAnsi="宋体" w:eastAsia="宋体" w:cs="宋体"/>
                <w:kern w:val="0"/>
                <w:sz w:val="24"/>
                <w:szCs w:val="24"/>
              </w:rPr>
            </w:pPr>
          </w:p>
        </w:tc>
        <w:tc>
          <w:tcPr>
            <w:tcW w:w="0" w:type="auto"/>
            <w:vMerge w:val="continue"/>
            <w:tcBorders>
              <w:top w:val="single" w:color="auto" w:sz="6" w:space="0"/>
              <w:left w:val="nil"/>
              <w:bottom w:val="nil"/>
              <w:right w:val="single" w:color="auto" w:sz="6" w:space="0"/>
            </w:tcBorders>
            <w:shd w:val="clear" w:color="auto" w:fill="auto"/>
            <w:vAlign w:val="center"/>
          </w:tcPr>
          <w:p w14:paraId="1F168219">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FC72F8B">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2、与现有的核心区云平台、容灾管理平台无缝对接，接受云平台的统一纳管和配置下发，以便于进行业务的自动开通；接受容灾管理平台的统一调度，以便于进行A/B中心的容灾切换。</w:t>
            </w:r>
          </w:p>
        </w:tc>
        <w:tc>
          <w:tcPr>
            <w:tcW w:w="0" w:type="auto"/>
            <w:vMerge w:val="continue"/>
            <w:tcBorders>
              <w:top w:val="single" w:color="auto" w:sz="6" w:space="0"/>
              <w:left w:val="nil"/>
              <w:bottom w:val="nil"/>
              <w:right w:val="single" w:color="auto" w:sz="6" w:space="0"/>
            </w:tcBorders>
            <w:shd w:val="clear" w:color="auto" w:fill="auto"/>
            <w:vAlign w:val="center"/>
          </w:tcPr>
          <w:p w14:paraId="702F2A95">
            <w:pPr>
              <w:widowControl/>
              <w:jc w:val="left"/>
              <w:rPr>
                <w:rFonts w:ascii="宋体" w:hAnsi="宋体" w:eastAsia="宋体" w:cs="宋体"/>
                <w:kern w:val="0"/>
                <w:sz w:val="24"/>
                <w:szCs w:val="24"/>
              </w:rPr>
            </w:pPr>
          </w:p>
        </w:tc>
        <w:tc>
          <w:tcPr>
            <w:tcW w:w="0" w:type="auto"/>
            <w:vMerge w:val="continue"/>
            <w:tcBorders>
              <w:top w:val="single" w:color="auto" w:sz="6" w:space="0"/>
              <w:left w:val="nil"/>
              <w:bottom w:val="nil"/>
              <w:right w:val="single" w:color="auto" w:sz="6" w:space="0"/>
            </w:tcBorders>
            <w:shd w:val="clear" w:color="auto" w:fill="auto"/>
            <w:vAlign w:val="center"/>
          </w:tcPr>
          <w:p w14:paraId="04E22B76">
            <w:pPr>
              <w:widowControl/>
              <w:jc w:val="left"/>
              <w:rPr>
                <w:rFonts w:ascii="宋体" w:hAnsi="宋体" w:eastAsia="宋体" w:cs="宋体"/>
                <w:kern w:val="0"/>
                <w:sz w:val="24"/>
                <w:szCs w:val="24"/>
              </w:rPr>
            </w:pPr>
          </w:p>
        </w:tc>
        <w:tc>
          <w:tcPr>
            <w:tcW w:w="0" w:type="auto"/>
            <w:vMerge w:val="continue"/>
            <w:tcBorders>
              <w:top w:val="single" w:color="auto" w:sz="6" w:space="0"/>
              <w:left w:val="nil"/>
              <w:bottom w:val="nil"/>
              <w:right w:val="single" w:color="auto" w:sz="6" w:space="0"/>
            </w:tcBorders>
            <w:shd w:val="clear" w:color="auto" w:fill="auto"/>
            <w:vAlign w:val="center"/>
          </w:tcPr>
          <w:p w14:paraId="00755FA9">
            <w:pPr>
              <w:widowControl/>
              <w:jc w:val="left"/>
              <w:rPr>
                <w:rFonts w:ascii="宋体" w:hAnsi="宋体" w:eastAsia="宋体" w:cs="宋体"/>
                <w:kern w:val="0"/>
                <w:sz w:val="24"/>
                <w:szCs w:val="24"/>
              </w:rPr>
            </w:pPr>
          </w:p>
        </w:tc>
        <w:tc>
          <w:tcPr>
            <w:tcW w:w="0" w:type="auto"/>
            <w:vMerge w:val="continue"/>
            <w:tcBorders>
              <w:top w:val="single" w:color="auto" w:sz="6" w:space="0"/>
              <w:left w:val="nil"/>
              <w:bottom w:val="nil"/>
              <w:right w:val="single" w:color="auto" w:sz="6" w:space="0"/>
            </w:tcBorders>
            <w:shd w:val="clear" w:color="auto" w:fill="auto"/>
            <w:vAlign w:val="center"/>
          </w:tcPr>
          <w:p w14:paraId="7D654927">
            <w:pPr>
              <w:widowControl/>
              <w:jc w:val="left"/>
              <w:rPr>
                <w:rFonts w:ascii="宋体" w:hAnsi="宋体" w:eastAsia="宋体" w:cs="宋体"/>
                <w:kern w:val="0"/>
                <w:sz w:val="24"/>
                <w:szCs w:val="24"/>
              </w:rPr>
            </w:pPr>
          </w:p>
        </w:tc>
      </w:tr>
      <w:tr w14:paraId="78DFD3FA">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5" w:hRule="atLeast"/>
        </w:trPr>
        <w:tc>
          <w:tcPr>
            <w:tcW w:w="0" w:type="auto"/>
            <w:vMerge w:val="continue"/>
            <w:tcBorders>
              <w:top w:val="single" w:color="auto" w:sz="6" w:space="0"/>
              <w:left w:val="single" w:color="auto" w:sz="6" w:space="0"/>
              <w:bottom w:val="nil"/>
              <w:right w:val="single" w:color="auto" w:sz="6" w:space="0"/>
            </w:tcBorders>
            <w:shd w:val="clear" w:color="auto" w:fill="auto"/>
            <w:vAlign w:val="center"/>
          </w:tcPr>
          <w:p w14:paraId="5682087C">
            <w:pPr>
              <w:widowControl/>
              <w:jc w:val="left"/>
              <w:rPr>
                <w:rFonts w:ascii="宋体" w:hAnsi="宋体" w:eastAsia="宋体" w:cs="宋体"/>
                <w:kern w:val="0"/>
                <w:sz w:val="24"/>
                <w:szCs w:val="24"/>
              </w:rPr>
            </w:pPr>
          </w:p>
        </w:tc>
        <w:tc>
          <w:tcPr>
            <w:tcW w:w="0" w:type="auto"/>
            <w:vMerge w:val="continue"/>
            <w:tcBorders>
              <w:top w:val="single" w:color="auto" w:sz="6" w:space="0"/>
              <w:left w:val="nil"/>
              <w:bottom w:val="nil"/>
              <w:right w:val="single" w:color="auto" w:sz="6" w:space="0"/>
            </w:tcBorders>
            <w:shd w:val="clear" w:color="auto" w:fill="auto"/>
            <w:vAlign w:val="center"/>
          </w:tcPr>
          <w:p w14:paraId="4395B239">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136A605">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3、配置300T裸容量的分布式对象存储授权；</w:t>
            </w:r>
          </w:p>
        </w:tc>
        <w:tc>
          <w:tcPr>
            <w:tcW w:w="0" w:type="auto"/>
            <w:vMerge w:val="continue"/>
            <w:tcBorders>
              <w:top w:val="single" w:color="auto" w:sz="6" w:space="0"/>
              <w:left w:val="nil"/>
              <w:bottom w:val="nil"/>
              <w:right w:val="single" w:color="auto" w:sz="6" w:space="0"/>
            </w:tcBorders>
            <w:shd w:val="clear" w:color="auto" w:fill="auto"/>
            <w:vAlign w:val="center"/>
          </w:tcPr>
          <w:p w14:paraId="1DFDC0ED">
            <w:pPr>
              <w:widowControl/>
              <w:jc w:val="left"/>
              <w:rPr>
                <w:rFonts w:ascii="宋体" w:hAnsi="宋体" w:eastAsia="宋体" w:cs="宋体"/>
                <w:kern w:val="0"/>
                <w:sz w:val="24"/>
                <w:szCs w:val="24"/>
              </w:rPr>
            </w:pPr>
          </w:p>
        </w:tc>
        <w:tc>
          <w:tcPr>
            <w:tcW w:w="0" w:type="auto"/>
            <w:vMerge w:val="continue"/>
            <w:tcBorders>
              <w:top w:val="single" w:color="auto" w:sz="6" w:space="0"/>
              <w:left w:val="nil"/>
              <w:bottom w:val="nil"/>
              <w:right w:val="single" w:color="auto" w:sz="6" w:space="0"/>
            </w:tcBorders>
            <w:shd w:val="clear" w:color="auto" w:fill="auto"/>
            <w:vAlign w:val="center"/>
          </w:tcPr>
          <w:p w14:paraId="5ED0F0D1">
            <w:pPr>
              <w:widowControl/>
              <w:jc w:val="left"/>
              <w:rPr>
                <w:rFonts w:ascii="宋体" w:hAnsi="宋体" w:eastAsia="宋体" w:cs="宋体"/>
                <w:kern w:val="0"/>
                <w:sz w:val="24"/>
                <w:szCs w:val="24"/>
              </w:rPr>
            </w:pPr>
          </w:p>
        </w:tc>
        <w:tc>
          <w:tcPr>
            <w:tcW w:w="0" w:type="auto"/>
            <w:vMerge w:val="continue"/>
            <w:tcBorders>
              <w:top w:val="single" w:color="auto" w:sz="6" w:space="0"/>
              <w:left w:val="nil"/>
              <w:bottom w:val="nil"/>
              <w:right w:val="single" w:color="auto" w:sz="6" w:space="0"/>
            </w:tcBorders>
            <w:shd w:val="clear" w:color="auto" w:fill="auto"/>
            <w:vAlign w:val="center"/>
          </w:tcPr>
          <w:p w14:paraId="07371DBF">
            <w:pPr>
              <w:widowControl/>
              <w:jc w:val="left"/>
              <w:rPr>
                <w:rFonts w:ascii="宋体" w:hAnsi="宋体" w:eastAsia="宋体" w:cs="宋体"/>
                <w:kern w:val="0"/>
                <w:sz w:val="24"/>
                <w:szCs w:val="24"/>
              </w:rPr>
            </w:pPr>
          </w:p>
        </w:tc>
        <w:tc>
          <w:tcPr>
            <w:tcW w:w="0" w:type="auto"/>
            <w:vMerge w:val="continue"/>
            <w:tcBorders>
              <w:top w:val="single" w:color="auto" w:sz="6" w:space="0"/>
              <w:left w:val="nil"/>
              <w:bottom w:val="nil"/>
              <w:right w:val="single" w:color="auto" w:sz="6" w:space="0"/>
            </w:tcBorders>
            <w:shd w:val="clear" w:color="auto" w:fill="auto"/>
            <w:vAlign w:val="center"/>
          </w:tcPr>
          <w:p w14:paraId="475A67CD">
            <w:pPr>
              <w:widowControl/>
              <w:jc w:val="left"/>
              <w:rPr>
                <w:rFonts w:ascii="宋体" w:hAnsi="宋体" w:eastAsia="宋体" w:cs="宋体"/>
                <w:kern w:val="0"/>
                <w:sz w:val="24"/>
                <w:szCs w:val="24"/>
              </w:rPr>
            </w:pPr>
          </w:p>
        </w:tc>
      </w:tr>
      <w:tr w14:paraId="668B50AC">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5" w:hRule="atLeast"/>
        </w:trPr>
        <w:tc>
          <w:tcPr>
            <w:tcW w:w="0" w:type="auto"/>
            <w:vMerge w:val="continue"/>
            <w:tcBorders>
              <w:top w:val="single" w:color="auto" w:sz="6" w:space="0"/>
              <w:left w:val="single" w:color="auto" w:sz="6" w:space="0"/>
              <w:bottom w:val="nil"/>
              <w:right w:val="single" w:color="auto" w:sz="6" w:space="0"/>
            </w:tcBorders>
            <w:shd w:val="clear" w:color="auto" w:fill="auto"/>
            <w:vAlign w:val="center"/>
          </w:tcPr>
          <w:p w14:paraId="5D525008">
            <w:pPr>
              <w:widowControl/>
              <w:jc w:val="left"/>
              <w:rPr>
                <w:rFonts w:ascii="宋体" w:hAnsi="宋体" w:eastAsia="宋体" w:cs="宋体"/>
                <w:kern w:val="0"/>
                <w:sz w:val="24"/>
                <w:szCs w:val="24"/>
              </w:rPr>
            </w:pPr>
          </w:p>
        </w:tc>
        <w:tc>
          <w:tcPr>
            <w:tcW w:w="0" w:type="auto"/>
            <w:vMerge w:val="continue"/>
            <w:tcBorders>
              <w:top w:val="single" w:color="auto" w:sz="6" w:space="0"/>
              <w:left w:val="nil"/>
              <w:bottom w:val="nil"/>
              <w:right w:val="single" w:color="auto" w:sz="6" w:space="0"/>
            </w:tcBorders>
            <w:shd w:val="clear" w:color="auto" w:fill="auto"/>
            <w:vAlign w:val="center"/>
          </w:tcPr>
          <w:p w14:paraId="38BB5A97">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36BD28D">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4、支持多副本保护机制，可选择2~6副本，允许用户设置副本数量。</w:t>
            </w:r>
          </w:p>
        </w:tc>
        <w:tc>
          <w:tcPr>
            <w:tcW w:w="0" w:type="auto"/>
            <w:vMerge w:val="continue"/>
            <w:tcBorders>
              <w:top w:val="single" w:color="auto" w:sz="6" w:space="0"/>
              <w:left w:val="nil"/>
              <w:bottom w:val="nil"/>
              <w:right w:val="single" w:color="auto" w:sz="6" w:space="0"/>
            </w:tcBorders>
            <w:shd w:val="clear" w:color="auto" w:fill="auto"/>
            <w:vAlign w:val="center"/>
          </w:tcPr>
          <w:p w14:paraId="19D36012">
            <w:pPr>
              <w:widowControl/>
              <w:jc w:val="left"/>
              <w:rPr>
                <w:rFonts w:ascii="宋体" w:hAnsi="宋体" w:eastAsia="宋体" w:cs="宋体"/>
                <w:kern w:val="0"/>
                <w:sz w:val="24"/>
                <w:szCs w:val="24"/>
              </w:rPr>
            </w:pPr>
          </w:p>
        </w:tc>
        <w:tc>
          <w:tcPr>
            <w:tcW w:w="0" w:type="auto"/>
            <w:vMerge w:val="continue"/>
            <w:tcBorders>
              <w:top w:val="single" w:color="auto" w:sz="6" w:space="0"/>
              <w:left w:val="nil"/>
              <w:bottom w:val="nil"/>
              <w:right w:val="single" w:color="auto" w:sz="6" w:space="0"/>
            </w:tcBorders>
            <w:shd w:val="clear" w:color="auto" w:fill="auto"/>
            <w:vAlign w:val="center"/>
          </w:tcPr>
          <w:p w14:paraId="1AE261A4">
            <w:pPr>
              <w:widowControl/>
              <w:jc w:val="left"/>
              <w:rPr>
                <w:rFonts w:ascii="宋体" w:hAnsi="宋体" w:eastAsia="宋体" w:cs="宋体"/>
                <w:kern w:val="0"/>
                <w:sz w:val="24"/>
                <w:szCs w:val="24"/>
              </w:rPr>
            </w:pPr>
          </w:p>
        </w:tc>
        <w:tc>
          <w:tcPr>
            <w:tcW w:w="0" w:type="auto"/>
            <w:vMerge w:val="continue"/>
            <w:tcBorders>
              <w:top w:val="single" w:color="auto" w:sz="6" w:space="0"/>
              <w:left w:val="nil"/>
              <w:bottom w:val="nil"/>
              <w:right w:val="single" w:color="auto" w:sz="6" w:space="0"/>
            </w:tcBorders>
            <w:shd w:val="clear" w:color="auto" w:fill="auto"/>
            <w:vAlign w:val="center"/>
          </w:tcPr>
          <w:p w14:paraId="79DDC0BA">
            <w:pPr>
              <w:widowControl/>
              <w:jc w:val="left"/>
              <w:rPr>
                <w:rFonts w:ascii="宋体" w:hAnsi="宋体" w:eastAsia="宋体" w:cs="宋体"/>
                <w:kern w:val="0"/>
                <w:sz w:val="24"/>
                <w:szCs w:val="24"/>
              </w:rPr>
            </w:pPr>
          </w:p>
        </w:tc>
        <w:tc>
          <w:tcPr>
            <w:tcW w:w="0" w:type="auto"/>
            <w:vMerge w:val="continue"/>
            <w:tcBorders>
              <w:top w:val="single" w:color="auto" w:sz="6" w:space="0"/>
              <w:left w:val="nil"/>
              <w:bottom w:val="nil"/>
              <w:right w:val="single" w:color="auto" w:sz="6" w:space="0"/>
            </w:tcBorders>
            <w:shd w:val="clear" w:color="auto" w:fill="auto"/>
            <w:vAlign w:val="center"/>
          </w:tcPr>
          <w:p w14:paraId="4C64FE2E">
            <w:pPr>
              <w:widowControl/>
              <w:jc w:val="left"/>
              <w:rPr>
                <w:rFonts w:ascii="宋体" w:hAnsi="宋体" w:eastAsia="宋体" w:cs="宋体"/>
                <w:kern w:val="0"/>
                <w:sz w:val="24"/>
                <w:szCs w:val="24"/>
              </w:rPr>
            </w:pPr>
          </w:p>
        </w:tc>
      </w:tr>
      <w:tr w14:paraId="39E4D6BC">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5" w:hRule="atLeast"/>
        </w:trPr>
        <w:tc>
          <w:tcPr>
            <w:tcW w:w="0" w:type="auto"/>
            <w:vMerge w:val="continue"/>
            <w:tcBorders>
              <w:top w:val="single" w:color="auto" w:sz="6" w:space="0"/>
              <w:left w:val="single" w:color="auto" w:sz="6" w:space="0"/>
              <w:bottom w:val="nil"/>
              <w:right w:val="single" w:color="auto" w:sz="6" w:space="0"/>
            </w:tcBorders>
            <w:shd w:val="clear" w:color="auto" w:fill="auto"/>
            <w:vAlign w:val="center"/>
          </w:tcPr>
          <w:p w14:paraId="65D831DD">
            <w:pPr>
              <w:widowControl/>
              <w:jc w:val="left"/>
              <w:rPr>
                <w:rFonts w:ascii="宋体" w:hAnsi="宋体" w:eastAsia="宋体" w:cs="宋体"/>
                <w:kern w:val="0"/>
                <w:sz w:val="24"/>
                <w:szCs w:val="24"/>
              </w:rPr>
            </w:pPr>
          </w:p>
        </w:tc>
        <w:tc>
          <w:tcPr>
            <w:tcW w:w="0" w:type="auto"/>
            <w:vMerge w:val="continue"/>
            <w:tcBorders>
              <w:top w:val="single" w:color="auto" w:sz="6" w:space="0"/>
              <w:left w:val="nil"/>
              <w:bottom w:val="nil"/>
              <w:right w:val="single" w:color="auto" w:sz="6" w:space="0"/>
            </w:tcBorders>
            <w:shd w:val="clear" w:color="auto" w:fill="auto"/>
            <w:vAlign w:val="center"/>
          </w:tcPr>
          <w:p w14:paraId="25576D73">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7880F26">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5、支持N+1到N+4的纠删码保护；</w:t>
            </w:r>
          </w:p>
        </w:tc>
        <w:tc>
          <w:tcPr>
            <w:tcW w:w="0" w:type="auto"/>
            <w:vMerge w:val="continue"/>
            <w:tcBorders>
              <w:top w:val="single" w:color="auto" w:sz="6" w:space="0"/>
              <w:left w:val="nil"/>
              <w:bottom w:val="nil"/>
              <w:right w:val="single" w:color="auto" w:sz="6" w:space="0"/>
            </w:tcBorders>
            <w:shd w:val="clear" w:color="auto" w:fill="auto"/>
            <w:vAlign w:val="center"/>
          </w:tcPr>
          <w:p w14:paraId="6D669A31">
            <w:pPr>
              <w:widowControl/>
              <w:jc w:val="left"/>
              <w:rPr>
                <w:rFonts w:ascii="宋体" w:hAnsi="宋体" w:eastAsia="宋体" w:cs="宋体"/>
                <w:kern w:val="0"/>
                <w:sz w:val="24"/>
                <w:szCs w:val="24"/>
              </w:rPr>
            </w:pPr>
          </w:p>
        </w:tc>
        <w:tc>
          <w:tcPr>
            <w:tcW w:w="0" w:type="auto"/>
            <w:vMerge w:val="continue"/>
            <w:tcBorders>
              <w:top w:val="single" w:color="auto" w:sz="6" w:space="0"/>
              <w:left w:val="nil"/>
              <w:bottom w:val="nil"/>
              <w:right w:val="single" w:color="auto" w:sz="6" w:space="0"/>
            </w:tcBorders>
            <w:shd w:val="clear" w:color="auto" w:fill="auto"/>
            <w:vAlign w:val="center"/>
          </w:tcPr>
          <w:p w14:paraId="527A7F5A">
            <w:pPr>
              <w:widowControl/>
              <w:jc w:val="left"/>
              <w:rPr>
                <w:rFonts w:ascii="宋体" w:hAnsi="宋体" w:eastAsia="宋体" w:cs="宋体"/>
                <w:kern w:val="0"/>
                <w:sz w:val="24"/>
                <w:szCs w:val="24"/>
              </w:rPr>
            </w:pPr>
          </w:p>
        </w:tc>
        <w:tc>
          <w:tcPr>
            <w:tcW w:w="0" w:type="auto"/>
            <w:vMerge w:val="continue"/>
            <w:tcBorders>
              <w:top w:val="single" w:color="auto" w:sz="6" w:space="0"/>
              <w:left w:val="nil"/>
              <w:bottom w:val="nil"/>
              <w:right w:val="single" w:color="auto" w:sz="6" w:space="0"/>
            </w:tcBorders>
            <w:shd w:val="clear" w:color="auto" w:fill="auto"/>
            <w:vAlign w:val="center"/>
          </w:tcPr>
          <w:p w14:paraId="68495617">
            <w:pPr>
              <w:widowControl/>
              <w:jc w:val="left"/>
              <w:rPr>
                <w:rFonts w:ascii="宋体" w:hAnsi="宋体" w:eastAsia="宋体" w:cs="宋体"/>
                <w:kern w:val="0"/>
                <w:sz w:val="24"/>
                <w:szCs w:val="24"/>
              </w:rPr>
            </w:pPr>
          </w:p>
        </w:tc>
        <w:tc>
          <w:tcPr>
            <w:tcW w:w="0" w:type="auto"/>
            <w:vMerge w:val="continue"/>
            <w:tcBorders>
              <w:top w:val="single" w:color="auto" w:sz="6" w:space="0"/>
              <w:left w:val="nil"/>
              <w:bottom w:val="nil"/>
              <w:right w:val="single" w:color="auto" w:sz="6" w:space="0"/>
            </w:tcBorders>
            <w:shd w:val="clear" w:color="auto" w:fill="auto"/>
            <w:vAlign w:val="center"/>
          </w:tcPr>
          <w:p w14:paraId="248611B5">
            <w:pPr>
              <w:widowControl/>
              <w:jc w:val="left"/>
              <w:rPr>
                <w:rFonts w:ascii="宋体" w:hAnsi="宋体" w:eastAsia="宋体" w:cs="宋体"/>
                <w:kern w:val="0"/>
                <w:sz w:val="24"/>
                <w:szCs w:val="24"/>
              </w:rPr>
            </w:pPr>
          </w:p>
        </w:tc>
      </w:tr>
      <w:tr w14:paraId="44ECDA29">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5" w:hRule="atLeast"/>
        </w:trPr>
        <w:tc>
          <w:tcPr>
            <w:tcW w:w="0" w:type="auto"/>
            <w:vMerge w:val="continue"/>
            <w:tcBorders>
              <w:top w:val="single" w:color="auto" w:sz="6" w:space="0"/>
              <w:left w:val="single" w:color="auto" w:sz="6" w:space="0"/>
              <w:bottom w:val="nil"/>
              <w:right w:val="single" w:color="auto" w:sz="6" w:space="0"/>
            </w:tcBorders>
            <w:shd w:val="clear" w:color="auto" w:fill="auto"/>
            <w:vAlign w:val="center"/>
          </w:tcPr>
          <w:p w14:paraId="050A6E9F">
            <w:pPr>
              <w:widowControl/>
              <w:jc w:val="left"/>
              <w:rPr>
                <w:rFonts w:ascii="宋体" w:hAnsi="宋体" w:eastAsia="宋体" w:cs="宋体"/>
                <w:kern w:val="0"/>
                <w:sz w:val="24"/>
                <w:szCs w:val="24"/>
              </w:rPr>
            </w:pPr>
          </w:p>
        </w:tc>
        <w:tc>
          <w:tcPr>
            <w:tcW w:w="0" w:type="auto"/>
            <w:vMerge w:val="continue"/>
            <w:tcBorders>
              <w:top w:val="single" w:color="auto" w:sz="6" w:space="0"/>
              <w:left w:val="nil"/>
              <w:bottom w:val="nil"/>
              <w:right w:val="single" w:color="auto" w:sz="6" w:space="0"/>
            </w:tcBorders>
            <w:shd w:val="clear" w:color="auto" w:fill="auto"/>
            <w:vAlign w:val="center"/>
          </w:tcPr>
          <w:p w14:paraId="49142F40">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CF99F0A">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6、支持对象存储服务功能，可提供标准的API接口，支持S3、HDFS；</w:t>
            </w:r>
          </w:p>
        </w:tc>
        <w:tc>
          <w:tcPr>
            <w:tcW w:w="0" w:type="auto"/>
            <w:vMerge w:val="continue"/>
            <w:tcBorders>
              <w:top w:val="single" w:color="auto" w:sz="6" w:space="0"/>
              <w:left w:val="nil"/>
              <w:bottom w:val="nil"/>
              <w:right w:val="single" w:color="auto" w:sz="6" w:space="0"/>
            </w:tcBorders>
            <w:shd w:val="clear" w:color="auto" w:fill="auto"/>
            <w:vAlign w:val="center"/>
          </w:tcPr>
          <w:p w14:paraId="31132A06">
            <w:pPr>
              <w:widowControl/>
              <w:jc w:val="left"/>
              <w:rPr>
                <w:rFonts w:ascii="宋体" w:hAnsi="宋体" w:eastAsia="宋体" w:cs="宋体"/>
                <w:kern w:val="0"/>
                <w:sz w:val="24"/>
                <w:szCs w:val="24"/>
              </w:rPr>
            </w:pPr>
          </w:p>
        </w:tc>
        <w:tc>
          <w:tcPr>
            <w:tcW w:w="0" w:type="auto"/>
            <w:vMerge w:val="continue"/>
            <w:tcBorders>
              <w:top w:val="single" w:color="auto" w:sz="6" w:space="0"/>
              <w:left w:val="nil"/>
              <w:bottom w:val="nil"/>
              <w:right w:val="single" w:color="auto" w:sz="6" w:space="0"/>
            </w:tcBorders>
            <w:shd w:val="clear" w:color="auto" w:fill="auto"/>
            <w:vAlign w:val="center"/>
          </w:tcPr>
          <w:p w14:paraId="7A6FA763">
            <w:pPr>
              <w:widowControl/>
              <w:jc w:val="left"/>
              <w:rPr>
                <w:rFonts w:ascii="宋体" w:hAnsi="宋体" w:eastAsia="宋体" w:cs="宋体"/>
                <w:kern w:val="0"/>
                <w:sz w:val="24"/>
                <w:szCs w:val="24"/>
              </w:rPr>
            </w:pPr>
          </w:p>
        </w:tc>
        <w:tc>
          <w:tcPr>
            <w:tcW w:w="0" w:type="auto"/>
            <w:vMerge w:val="continue"/>
            <w:tcBorders>
              <w:top w:val="single" w:color="auto" w:sz="6" w:space="0"/>
              <w:left w:val="nil"/>
              <w:bottom w:val="nil"/>
              <w:right w:val="single" w:color="auto" w:sz="6" w:space="0"/>
            </w:tcBorders>
            <w:shd w:val="clear" w:color="auto" w:fill="auto"/>
            <w:vAlign w:val="center"/>
          </w:tcPr>
          <w:p w14:paraId="3263C474">
            <w:pPr>
              <w:widowControl/>
              <w:jc w:val="left"/>
              <w:rPr>
                <w:rFonts w:ascii="宋体" w:hAnsi="宋体" w:eastAsia="宋体" w:cs="宋体"/>
                <w:kern w:val="0"/>
                <w:sz w:val="24"/>
                <w:szCs w:val="24"/>
              </w:rPr>
            </w:pPr>
          </w:p>
        </w:tc>
        <w:tc>
          <w:tcPr>
            <w:tcW w:w="0" w:type="auto"/>
            <w:vMerge w:val="continue"/>
            <w:tcBorders>
              <w:top w:val="single" w:color="auto" w:sz="6" w:space="0"/>
              <w:left w:val="nil"/>
              <w:bottom w:val="nil"/>
              <w:right w:val="single" w:color="auto" w:sz="6" w:space="0"/>
            </w:tcBorders>
            <w:shd w:val="clear" w:color="auto" w:fill="auto"/>
            <w:vAlign w:val="center"/>
          </w:tcPr>
          <w:p w14:paraId="0E488233">
            <w:pPr>
              <w:widowControl/>
              <w:jc w:val="left"/>
              <w:rPr>
                <w:rFonts w:ascii="宋体" w:hAnsi="宋体" w:eastAsia="宋体" w:cs="宋体"/>
                <w:kern w:val="0"/>
                <w:sz w:val="24"/>
                <w:szCs w:val="24"/>
              </w:rPr>
            </w:pPr>
          </w:p>
        </w:tc>
      </w:tr>
      <w:tr w14:paraId="4FCFEBC2">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5" w:hRule="atLeast"/>
        </w:trPr>
        <w:tc>
          <w:tcPr>
            <w:tcW w:w="0" w:type="auto"/>
            <w:vMerge w:val="continue"/>
            <w:tcBorders>
              <w:top w:val="single" w:color="auto" w:sz="6" w:space="0"/>
              <w:left w:val="single" w:color="auto" w:sz="6" w:space="0"/>
              <w:bottom w:val="nil"/>
              <w:right w:val="single" w:color="auto" w:sz="6" w:space="0"/>
            </w:tcBorders>
            <w:shd w:val="clear" w:color="auto" w:fill="auto"/>
            <w:vAlign w:val="center"/>
          </w:tcPr>
          <w:p w14:paraId="4559E8D6">
            <w:pPr>
              <w:widowControl/>
              <w:jc w:val="left"/>
              <w:rPr>
                <w:rFonts w:ascii="宋体" w:hAnsi="宋体" w:eastAsia="宋体" w:cs="宋体"/>
                <w:kern w:val="0"/>
                <w:sz w:val="24"/>
                <w:szCs w:val="24"/>
              </w:rPr>
            </w:pPr>
          </w:p>
        </w:tc>
        <w:tc>
          <w:tcPr>
            <w:tcW w:w="0" w:type="auto"/>
            <w:vMerge w:val="continue"/>
            <w:tcBorders>
              <w:top w:val="single" w:color="auto" w:sz="6" w:space="0"/>
              <w:left w:val="nil"/>
              <w:bottom w:val="nil"/>
              <w:right w:val="single" w:color="auto" w:sz="6" w:space="0"/>
            </w:tcBorders>
            <w:shd w:val="clear" w:color="auto" w:fill="auto"/>
            <w:vAlign w:val="center"/>
          </w:tcPr>
          <w:p w14:paraId="70FBA01B">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BE88F03">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7、支持对象存储与访问Web     Server分属不同的域内，支持对已上传的对象进行追加修改；</w:t>
            </w:r>
          </w:p>
        </w:tc>
        <w:tc>
          <w:tcPr>
            <w:tcW w:w="0" w:type="auto"/>
            <w:vMerge w:val="continue"/>
            <w:tcBorders>
              <w:top w:val="single" w:color="auto" w:sz="6" w:space="0"/>
              <w:left w:val="nil"/>
              <w:bottom w:val="nil"/>
              <w:right w:val="single" w:color="auto" w:sz="6" w:space="0"/>
            </w:tcBorders>
            <w:shd w:val="clear" w:color="auto" w:fill="auto"/>
            <w:vAlign w:val="center"/>
          </w:tcPr>
          <w:p w14:paraId="6CED5150">
            <w:pPr>
              <w:widowControl/>
              <w:jc w:val="left"/>
              <w:rPr>
                <w:rFonts w:ascii="宋体" w:hAnsi="宋体" w:eastAsia="宋体" w:cs="宋体"/>
                <w:kern w:val="0"/>
                <w:sz w:val="24"/>
                <w:szCs w:val="24"/>
              </w:rPr>
            </w:pPr>
          </w:p>
        </w:tc>
        <w:tc>
          <w:tcPr>
            <w:tcW w:w="0" w:type="auto"/>
            <w:vMerge w:val="continue"/>
            <w:tcBorders>
              <w:top w:val="single" w:color="auto" w:sz="6" w:space="0"/>
              <w:left w:val="nil"/>
              <w:bottom w:val="nil"/>
              <w:right w:val="single" w:color="auto" w:sz="6" w:space="0"/>
            </w:tcBorders>
            <w:shd w:val="clear" w:color="auto" w:fill="auto"/>
            <w:vAlign w:val="center"/>
          </w:tcPr>
          <w:p w14:paraId="473DD625">
            <w:pPr>
              <w:widowControl/>
              <w:jc w:val="left"/>
              <w:rPr>
                <w:rFonts w:ascii="宋体" w:hAnsi="宋体" w:eastAsia="宋体" w:cs="宋体"/>
                <w:kern w:val="0"/>
                <w:sz w:val="24"/>
                <w:szCs w:val="24"/>
              </w:rPr>
            </w:pPr>
          </w:p>
        </w:tc>
        <w:tc>
          <w:tcPr>
            <w:tcW w:w="0" w:type="auto"/>
            <w:vMerge w:val="continue"/>
            <w:tcBorders>
              <w:top w:val="single" w:color="auto" w:sz="6" w:space="0"/>
              <w:left w:val="nil"/>
              <w:bottom w:val="nil"/>
              <w:right w:val="single" w:color="auto" w:sz="6" w:space="0"/>
            </w:tcBorders>
            <w:shd w:val="clear" w:color="auto" w:fill="auto"/>
            <w:vAlign w:val="center"/>
          </w:tcPr>
          <w:p w14:paraId="4F6A1FFF">
            <w:pPr>
              <w:widowControl/>
              <w:jc w:val="left"/>
              <w:rPr>
                <w:rFonts w:ascii="宋体" w:hAnsi="宋体" w:eastAsia="宋体" w:cs="宋体"/>
                <w:kern w:val="0"/>
                <w:sz w:val="24"/>
                <w:szCs w:val="24"/>
              </w:rPr>
            </w:pPr>
          </w:p>
        </w:tc>
        <w:tc>
          <w:tcPr>
            <w:tcW w:w="0" w:type="auto"/>
            <w:vMerge w:val="continue"/>
            <w:tcBorders>
              <w:top w:val="single" w:color="auto" w:sz="6" w:space="0"/>
              <w:left w:val="nil"/>
              <w:bottom w:val="nil"/>
              <w:right w:val="single" w:color="auto" w:sz="6" w:space="0"/>
            </w:tcBorders>
            <w:shd w:val="clear" w:color="auto" w:fill="auto"/>
            <w:vAlign w:val="center"/>
          </w:tcPr>
          <w:p w14:paraId="7FEED410">
            <w:pPr>
              <w:widowControl/>
              <w:jc w:val="left"/>
              <w:rPr>
                <w:rFonts w:ascii="宋体" w:hAnsi="宋体" w:eastAsia="宋体" w:cs="宋体"/>
                <w:kern w:val="0"/>
                <w:sz w:val="24"/>
                <w:szCs w:val="24"/>
              </w:rPr>
            </w:pPr>
          </w:p>
        </w:tc>
      </w:tr>
      <w:tr w14:paraId="5D586C12">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5" w:hRule="atLeast"/>
        </w:trPr>
        <w:tc>
          <w:tcPr>
            <w:tcW w:w="0" w:type="auto"/>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54A015C">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16</w:t>
            </w:r>
          </w:p>
        </w:tc>
        <w:tc>
          <w:tcPr>
            <w:tcW w:w="0" w:type="auto"/>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3EBBDB2">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虚拟机操作系统</w:t>
            </w: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91E24F8">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4"/>
                <w:szCs w:val="24"/>
              </w:rPr>
              <w:t>国产化虚拟机操作系统，兼容主流服务器及招标人现有云平台软件。（投标人须承诺所投虚拟机操作系统数量满足招标人实际部署数量要求，须提供专项承诺函加盖投标人公章）</w:t>
            </w:r>
          </w:p>
        </w:tc>
        <w:tc>
          <w:tcPr>
            <w:tcW w:w="0" w:type="auto"/>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795352C">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套</w:t>
            </w:r>
          </w:p>
        </w:tc>
        <w:tc>
          <w:tcPr>
            <w:tcW w:w="0" w:type="auto"/>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A296E54">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3"/>
                <w:szCs w:val="23"/>
              </w:rPr>
              <w:t>≥</w:t>
            </w:r>
            <w:r>
              <w:rPr>
                <w:rFonts w:hint="eastAsia" w:ascii="宋体" w:hAnsi="宋体" w:eastAsia="宋体" w:cs="宋体"/>
                <w:color w:val="000000"/>
                <w:kern w:val="0"/>
                <w:sz w:val="24"/>
                <w:szCs w:val="24"/>
              </w:rPr>
              <w:t>150</w:t>
            </w:r>
          </w:p>
        </w:tc>
        <w:tc>
          <w:tcPr>
            <w:tcW w:w="0" w:type="auto"/>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9082FE0">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w:t>
            </w:r>
            <w:r>
              <w:rPr>
                <w:rFonts w:hint="eastAsia" w:ascii="宋体" w:hAnsi="宋体" w:eastAsia="宋体" w:cs="宋体"/>
                <w:color w:val="000000"/>
                <w:kern w:val="0"/>
                <w:sz w:val="24"/>
                <w:szCs w:val="24"/>
              </w:rPr>
              <w:t>150</w:t>
            </w:r>
          </w:p>
        </w:tc>
        <w:tc>
          <w:tcPr>
            <w:tcW w:w="0" w:type="auto"/>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632E9F3">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3"/>
                <w:szCs w:val="23"/>
              </w:rPr>
              <w:t>≥</w:t>
            </w:r>
            <w:r>
              <w:rPr>
                <w:rFonts w:hint="eastAsia" w:ascii="宋体" w:hAnsi="宋体" w:eastAsia="宋体" w:cs="宋体"/>
                <w:color w:val="000000"/>
                <w:kern w:val="0"/>
                <w:sz w:val="24"/>
                <w:szCs w:val="24"/>
              </w:rPr>
              <w:t>300</w:t>
            </w:r>
          </w:p>
        </w:tc>
      </w:tr>
    </w:tbl>
    <w:p w14:paraId="7484E8F2">
      <w:pPr>
        <w:widowControl/>
        <w:spacing w:after="150" w:line="300" w:lineRule="atLeast"/>
        <w:jc w:val="left"/>
        <w:rPr>
          <w:rFonts w:ascii="宋体" w:hAnsi="宋体" w:eastAsia="宋体" w:cs="宋体"/>
          <w:kern w:val="0"/>
          <w:sz w:val="24"/>
          <w:szCs w:val="24"/>
        </w:rPr>
      </w:pPr>
      <w:r>
        <w:rPr>
          <w:rFonts w:hint="eastAsia" w:ascii="宋体" w:hAnsi="宋体" w:eastAsia="宋体" w:cs="宋体"/>
          <w:kern w:val="0"/>
          <w:sz w:val="24"/>
          <w:szCs w:val="24"/>
        </w:rPr>
        <w:t> </w:t>
      </w:r>
    </w:p>
    <w:p w14:paraId="298D564A">
      <w:pPr>
        <w:widowControl/>
        <w:spacing w:before="100" w:beforeAutospacing="1" w:after="100" w:afterAutospacing="1" w:line="300" w:lineRule="atLeast"/>
        <w:jc w:val="left"/>
        <w:rPr>
          <w:rFonts w:ascii="宋体" w:hAnsi="宋体" w:eastAsia="宋体" w:cs="宋体"/>
          <w:kern w:val="0"/>
          <w:sz w:val="24"/>
          <w:szCs w:val="24"/>
        </w:rPr>
      </w:pPr>
      <w:r>
        <w:rPr>
          <w:rFonts w:hint="eastAsia" w:ascii="宋体" w:hAnsi="宋体" w:eastAsia="宋体" w:cs="宋体"/>
          <w:b/>
          <w:bCs/>
          <w:kern w:val="0"/>
          <w:sz w:val="24"/>
          <w:szCs w:val="24"/>
        </w:rPr>
        <w:t>性能提升要求</w:t>
      </w:r>
    </w:p>
    <w:p w14:paraId="004A2F38">
      <w:pPr>
        <w:widowControl/>
        <w:spacing w:after="150" w:line="300" w:lineRule="atLeast"/>
        <w:jc w:val="left"/>
        <w:rPr>
          <w:rFonts w:ascii="宋体" w:hAnsi="宋体" w:eastAsia="宋体" w:cs="宋体"/>
          <w:kern w:val="0"/>
          <w:sz w:val="24"/>
          <w:szCs w:val="24"/>
        </w:rPr>
      </w:pPr>
      <w:r>
        <w:rPr>
          <w:rFonts w:hint="eastAsia" w:ascii="宋体" w:hAnsi="宋体" w:eastAsia="宋体" w:cs="宋体"/>
          <w:kern w:val="0"/>
          <w:sz w:val="24"/>
          <w:szCs w:val="24"/>
        </w:rPr>
        <w:t>分布式文件存储授权、分布式对象存储授权性能提升要求如下：</w:t>
      </w:r>
    </w:p>
    <w:p w14:paraId="52F9C4FD">
      <w:pPr>
        <w:widowControl/>
        <w:spacing w:after="150" w:line="300" w:lineRule="atLeast"/>
        <w:jc w:val="left"/>
        <w:rPr>
          <w:rFonts w:ascii="宋体" w:hAnsi="宋体" w:eastAsia="宋体" w:cs="宋体"/>
          <w:kern w:val="0"/>
          <w:sz w:val="24"/>
          <w:szCs w:val="24"/>
        </w:rPr>
      </w:pPr>
      <w:r>
        <w:rPr>
          <w:rFonts w:hint="eastAsia" w:ascii="宋体" w:hAnsi="宋体" w:eastAsia="宋体" w:cs="宋体"/>
          <w:kern w:val="0"/>
          <w:sz w:val="24"/>
          <w:szCs w:val="24"/>
        </w:rPr>
        <w:t>▲1、支持统一存储服务，可提供RBD和ISCSI标准块存储接口，HTTP、FTP、NFS和CIFS等文件存储接口，CSI容器标准化接口，S3标准对象存储接口、HDFS存储接口。(提供官网公开链接及截图证明，同时出具具有CMA或CNAS标识的有效检测报告复印件证明，并加盖投标人公章)</w:t>
      </w:r>
    </w:p>
    <w:p w14:paraId="6BA6A53B">
      <w:pPr>
        <w:widowControl/>
        <w:spacing w:after="150" w:line="300" w:lineRule="atLeast"/>
        <w:jc w:val="left"/>
        <w:rPr>
          <w:rFonts w:ascii="宋体" w:hAnsi="宋体" w:eastAsia="宋体" w:cs="宋体"/>
          <w:kern w:val="0"/>
          <w:sz w:val="24"/>
          <w:szCs w:val="24"/>
        </w:rPr>
      </w:pPr>
      <w:r>
        <w:rPr>
          <w:rFonts w:hint="eastAsia" w:ascii="宋体" w:hAnsi="宋体" w:eastAsia="宋体" w:cs="宋体"/>
          <w:kern w:val="0"/>
          <w:sz w:val="24"/>
          <w:szCs w:val="24"/>
        </w:rPr>
        <w:t>▲2、支持卷回收站、QOS、厚配置、精简配置、数据重删、异步远程复制、集群拉远双活功能；(提供官网公开链接及截图证明，同时出具带有CMA或CNAS标识的有效检测报告证明复印件，并加盖投标人公章)</w:t>
      </w:r>
    </w:p>
    <w:p w14:paraId="0F4878B4">
      <w:pPr>
        <w:widowControl/>
        <w:spacing w:after="150" w:line="300" w:lineRule="atLeast"/>
        <w:jc w:val="left"/>
        <w:rPr>
          <w:rFonts w:ascii="宋体" w:hAnsi="宋体" w:eastAsia="宋体" w:cs="宋体"/>
          <w:kern w:val="0"/>
          <w:sz w:val="24"/>
          <w:szCs w:val="24"/>
        </w:rPr>
      </w:pPr>
      <w:r>
        <w:rPr>
          <w:rFonts w:hint="eastAsia" w:ascii="宋体" w:hAnsi="宋体" w:eastAsia="宋体" w:cs="宋体"/>
          <w:kern w:val="0"/>
          <w:sz w:val="24"/>
          <w:szCs w:val="24"/>
        </w:rPr>
        <w:t>▲3、支持并发创建、并发重启、并发删除虚拟机数不小于150台;（提供具有CMA或CNAS标识的有效检测报告证明，并加盖投标人公章）</w:t>
      </w:r>
    </w:p>
    <w:p w14:paraId="56BA5C80">
      <w:pPr>
        <w:widowControl/>
        <w:spacing w:after="150" w:line="300" w:lineRule="atLeast"/>
        <w:jc w:val="left"/>
        <w:rPr>
          <w:rFonts w:ascii="宋体" w:hAnsi="宋体" w:eastAsia="宋体" w:cs="宋体"/>
          <w:kern w:val="0"/>
          <w:sz w:val="24"/>
          <w:szCs w:val="24"/>
        </w:rPr>
      </w:pPr>
      <w:r>
        <w:rPr>
          <w:rFonts w:hint="eastAsia" w:ascii="宋体" w:hAnsi="宋体" w:eastAsia="宋体" w:cs="宋体"/>
          <w:kern w:val="0"/>
          <w:sz w:val="24"/>
          <w:szCs w:val="24"/>
        </w:rPr>
        <w:t>▲4、支持worm过期可修改、过期不可修改功能，支持回收站回收及还原功能；(提供具有CMA或CNAS标识的有效检测报告复印件证明，并加盖投标人公章)</w:t>
      </w:r>
    </w:p>
    <w:p w14:paraId="30E0953F">
      <w:pPr>
        <w:widowControl/>
        <w:spacing w:after="150"/>
        <w:jc w:val="left"/>
        <w:rPr>
          <w:rFonts w:ascii="宋体" w:hAnsi="宋体" w:eastAsia="宋体" w:cs="宋体"/>
          <w:kern w:val="0"/>
          <w:sz w:val="24"/>
          <w:szCs w:val="24"/>
        </w:rPr>
      </w:pPr>
      <w:r>
        <w:rPr>
          <w:rFonts w:hint="eastAsia" w:ascii="宋体" w:hAnsi="宋体" w:eastAsia="宋体" w:cs="宋体"/>
          <w:kern w:val="0"/>
          <w:sz w:val="24"/>
          <w:szCs w:val="24"/>
        </w:rPr>
        <w:t> </w:t>
      </w:r>
    </w:p>
    <w:p w14:paraId="09AC2895">
      <w:pPr>
        <w:widowControl/>
        <w:spacing w:before="300" w:after="150"/>
        <w:jc w:val="left"/>
        <w:rPr>
          <w:rFonts w:ascii="宋体" w:hAnsi="宋体" w:eastAsia="宋体" w:cs="宋体"/>
          <w:kern w:val="0"/>
          <w:sz w:val="24"/>
          <w:szCs w:val="24"/>
        </w:rPr>
      </w:pPr>
      <w:r>
        <w:rPr>
          <w:rFonts w:hint="eastAsia" w:ascii="宋体" w:hAnsi="宋体" w:eastAsia="宋体" w:cs="宋体"/>
          <w:kern w:val="0"/>
          <w:sz w:val="24"/>
          <w:szCs w:val="24"/>
        </w:rPr>
        <w:t>1.3</w:t>
      </w:r>
      <w:r>
        <w:rPr>
          <w:rFonts w:ascii="Times New Roman" w:hAnsi="Times New Roman" w:eastAsia="宋体" w:cs="Times New Roman"/>
          <w:kern w:val="0"/>
          <w:sz w:val="14"/>
          <w:szCs w:val="14"/>
        </w:rPr>
        <w:t>  </w:t>
      </w:r>
      <w:r>
        <w:rPr>
          <w:rFonts w:hint="eastAsia" w:ascii="宋体" w:hAnsi="宋体" w:eastAsia="宋体" w:cs="宋体"/>
          <w:kern w:val="0"/>
          <w:sz w:val="24"/>
          <w:szCs w:val="24"/>
        </w:rPr>
        <w:t>DAAS层</w:t>
      </w:r>
    </w:p>
    <w:p w14:paraId="454FD16E">
      <w:pPr>
        <w:widowControl/>
        <w:spacing w:before="300" w:after="150"/>
        <w:jc w:val="left"/>
        <w:rPr>
          <w:rFonts w:ascii="宋体" w:hAnsi="宋体" w:eastAsia="宋体" w:cs="宋体"/>
          <w:kern w:val="0"/>
          <w:sz w:val="24"/>
          <w:szCs w:val="24"/>
        </w:rPr>
      </w:pPr>
      <w:r>
        <w:rPr>
          <w:rFonts w:hint="eastAsia" w:ascii="宋体" w:hAnsi="宋体" w:eastAsia="宋体" w:cs="宋体"/>
          <w:kern w:val="0"/>
          <w:sz w:val="24"/>
          <w:szCs w:val="24"/>
        </w:rPr>
        <w:t>1.3.1 数据库服务器</w:t>
      </w:r>
    </w:p>
    <w:p w14:paraId="4990F6EF">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b/>
          <w:bCs/>
          <w:kern w:val="0"/>
          <w:sz w:val="24"/>
          <w:szCs w:val="24"/>
        </w:rPr>
        <w:t>基础规格参数</w:t>
      </w:r>
    </w:p>
    <w:tbl>
      <w:tblPr>
        <w:tblStyle w:val="9"/>
        <w:tblW w:w="0" w:type="auto"/>
        <w:tblInd w:w="0" w:type="dxa"/>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476"/>
        <w:gridCol w:w="1247"/>
        <w:gridCol w:w="3427"/>
        <w:gridCol w:w="485"/>
        <w:gridCol w:w="1198"/>
        <w:gridCol w:w="1198"/>
        <w:gridCol w:w="485"/>
      </w:tblGrid>
      <w:tr w14:paraId="0CFE4FD5">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5" w:hRule="atLeast"/>
        </w:trPr>
        <w:tc>
          <w:tcPr>
            <w:tcW w:w="0" w:type="auto"/>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11CF24E">
            <w:pPr>
              <w:widowControl/>
              <w:spacing w:after="150"/>
              <w:jc w:val="center"/>
              <w:rPr>
                <w:rFonts w:ascii="宋体" w:hAnsi="宋体" w:eastAsia="宋体" w:cs="宋体"/>
                <w:kern w:val="0"/>
                <w:sz w:val="24"/>
                <w:szCs w:val="24"/>
              </w:rPr>
            </w:pPr>
            <w:r>
              <w:rPr>
                <w:rFonts w:hint="eastAsia" w:ascii="宋体" w:hAnsi="宋体" w:eastAsia="宋体" w:cs="宋体"/>
                <w:b/>
                <w:bCs/>
                <w:color w:val="000000"/>
                <w:kern w:val="0"/>
                <w:sz w:val="23"/>
                <w:szCs w:val="23"/>
              </w:rPr>
              <w:t>序号</w:t>
            </w:r>
          </w:p>
        </w:tc>
        <w:tc>
          <w:tcPr>
            <w:tcW w:w="0" w:type="auto"/>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6669CC3">
            <w:pPr>
              <w:widowControl/>
              <w:spacing w:after="150"/>
              <w:jc w:val="center"/>
              <w:rPr>
                <w:rFonts w:ascii="宋体" w:hAnsi="宋体" w:eastAsia="宋体" w:cs="宋体"/>
                <w:kern w:val="0"/>
                <w:sz w:val="24"/>
                <w:szCs w:val="24"/>
              </w:rPr>
            </w:pPr>
            <w:r>
              <w:rPr>
                <w:rFonts w:hint="eastAsia" w:ascii="宋体" w:hAnsi="宋体" w:eastAsia="宋体" w:cs="宋体"/>
                <w:b/>
                <w:bCs/>
                <w:color w:val="000000"/>
                <w:kern w:val="0"/>
                <w:sz w:val="23"/>
                <w:szCs w:val="23"/>
              </w:rPr>
              <w:t>名 称</w:t>
            </w:r>
          </w:p>
        </w:tc>
        <w:tc>
          <w:tcPr>
            <w:tcW w:w="0" w:type="auto"/>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80A17BC">
            <w:pPr>
              <w:widowControl/>
              <w:spacing w:after="150"/>
              <w:jc w:val="center"/>
              <w:rPr>
                <w:rFonts w:ascii="宋体" w:hAnsi="宋体" w:eastAsia="宋体" w:cs="宋体"/>
                <w:kern w:val="0"/>
                <w:sz w:val="24"/>
                <w:szCs w:val="24"/>
              </w:rPr>
            </w:pPr>
            <w:r>
              <w:rPr>
                <w:rFonts w:hint="eastAsia" w:ascii="宋体" w:hAnsi="宋体" w:eastAsia="宋体" w:cs="宋体"/>
                <w:b/>
                <w:bCs/>
                <w:color w:val="000000"/>
                <w:kern w:val="0"/>
                <w:sz w:val="23"/>
                <w:szCs w:val="23"/>
              </w:rPr>
              <w:t>基础规格参数</w:t>
            </w:r>
          </w:p>
        </w:tc>
        <w:tc>
          <w:tcPr>
            <w:tcW w:w="0" w:type="auto"/>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0BB26AE">
            <w:pPr>
              <w:widowControl/>
              <w:spacing w:after="150"/>
              <w:jc w:val="center"/>
              <w:rPr>
                <w:rFonts w:ascii="宋体" w:hAnsi="宋体" w:eastAsia="宋体" w:cs="宋体"/>
                <w:kern w:val="0"/>
                <w:sz w:val="24"/>
                <w:szCs w:val="24"/>
              </w:rPr>
            </w:pPr>
            <w:r>
              <w:rPr>
                <w:rFonts w:hint="eastAsia" w:ascii="宋体" w:hAnsi="宋体" w:eastAsia="宋体" w:cs="宋体"/>
                <w:b/>
                <w:bCs/>
                <w:color w:val="000000"/>
                <w:kern w:val="0"/>
                <w:sz w:val="23"/>
                <w:szCs w:val="23"/>
              </w:rPr>
              <w:t>单位</w:t>
            </w:r>
          </w:p>
        </w:tc>
        <w:tc>
          <w:tcPr>
            <w:tcW w:w="0" w:type="auto"/>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7760FC5">
            <w:pPr>
              <w:widowControl/>
              <w:spacing w:after="150"/>
              <w:jc w:val="center"/>
              <w:rPr>
                <w:rFonts w:ascii="宋体" w:hAnsi="宋体" w:eastAsia="宋体" w:cs="宋体"/>
                <w:kern w:val="0"/>
                <w:sz w:val="24"/>
                <w:szCs w:val="24"/>
              </w:rPr>
            </w:pPr>
            <w:r>
              <w:rPr>
                <w:rFonts w:hint="eastAsia" w:ascii="宋体" w:hAnsi="宋体" w:eastAsia="宋体" w:cs="宋体"/>
                <w:b/>
                <w:bCs/>
                <w:color w:val="000000"/>
                <w:kern w:val="0"/>
                <w:sz w:val="23"/>
                <w:szCs w:val="23"/>
              </w:rPr>
              <w:t>数据</w:t>
            </w:r>
            <w:r>
              <w:rPr>
                <w:rFonts w:hint="eastAsia" w:ascii="宋体" w:hAnsi="宋体" w:eastAsia="宋体" w:cs="宋体"/>
                <w:b/>
                <w:bCs/>
                <w:color w:val="000000"/>
                <w:kern w:val="0"/>
                <w:sz w:val="23"/>
                <w:szCs w:val="23"/>
              </w:rPr>
              <w:br w:type="textWrapping"/>
            </w:r>
            <w:r>
              <w:rPr>
                <w:rFonts w:hint="eastAsia" w:ascii="宋体" w:hAnsi="宋体" w:eastAsia="宋体" w:cs="宋体"/>
                <w:b/>
                <w:bCs/>
                <w:color w:val="000000"/>
                <w:kern w:val="0"/>
                <w:sz w:val="23"/>
                <w:szCs w:val="23"/>
              </w:rPr>
              <w:t>    中心A</w:t>
            </w:r>
          </w:p>
        </w:tc>
        <w:tc>
          <w:tcPr>
            <w:tcW w:w="0" w:type="auto"/>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043E315">
            <w:pPr>
              <w:widowControl/>
              <w:spacing w:after="150"/>
              <w:jc w:val="center"/>
              <w:rPr>
                <w:rFonts w:ascii="宋体" w:hAnsi="宋体" w:eastAsia="宋体" w:cs="宋体"/>
                <w:kern w:val="0"/>
                <w:sz w:val="24"/>
                <w:szCs w:val="24"/>
              </w:rPr>
            </w:pPr>
            <w:r>
              <w:rPr>
                <w:rFonts w:hint="eastAsia" w:ascii="宋体" w:hAnsi="宋体" w:eastAsia="宋体" w:cs="宋体"/>
                <w:b/>
                <w:bCs/>
                <w:color w:val="000000"/>
                <w:kern w:val="0"/>
                <w:sz w:val="23"/>
                <w:szCs w:val="23"/>
              </w:rPr>
              <w:t>数据</w:t>
            </w:r>
            <w:r>
              <w:rPr>
                <w:rFonts w:hint="eastAsia" w:ascii="宋体" w:hAnsi="宋体" w:eastAsia="宋体" w:cs="宋体"/>
                <w:b/>
                <w:bCs/>
                <w:color w:val="000000"/>
                <w:kern w:val="0"/>
                <w:sz w:val="23"/>
                <w:szCs w:val="23"/>
              </w:rPr>
              <w:br w:type="textWrapping"/>
            </w:r>
            <w:r>
              <w:rPr>
                <w:rFonts w:hint="eastAsia" w:ascii="宋体" w:hAnsi="宋体" w:eastAsia="宋体" w:cs="宋体"/>
                <w:b/>
                <w:bCs/>
                <w:color w:val="000000"/>
                <w:kern w:val="0"/>
                <w:sz w:val="23"/>
                <w:szCs w:val="23"/>
              </w:rPr>
              <w:t>    中心B</w:t>
            </w:r>
          </w:p>
        </w:tc>
        <w:tc>
          <w:tcPr>
            <w:tcW w:w="0" w:type="auto"/>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0C9F505">
            <w:pPr>
              <w:widowControl/>
              <w:spacing w:after="150"/>
              <w:jc w:val="center"/>
              <w:rPr>
                <w:rFonts w:ascii="宋体" w:hAnsi="宋体" w:eastAsia="宋体" w:cs="宋体"/>
                <w:kern w:val="0"/>
                <w:sz w:val="24"/>
                <w:szCs w:val="24"/>
              </w:rPr>
            </w:pPr>
            <w:r>
              <w:rPr>
                <w:rFonts w:hint="eastAsia" w:ascii="宋体" w:hAnsi="宋体" w:eastAsia="宋体" w:cs="宋体"/>
                <w:b/>
                <w:bCs/>
                <w:color w:val="000000"/>
                <w:kern w:val="0"/>
                <w:sz w:val="23"/>
                <w:szCs w:val="23"/>
              </w:rPr>
              <w:t>合计</w:t>
            </w:r>
          </w:p>
        </w:tc>
      </w:tr>
      <w:tr w14:paraId="2AF0D0DF">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5" w:hRule="atLeast"/>
        </w:trPr>
        <w:tc>
          <w:tcPr>
            <w:tcW w:w="0" w:type="auto"/>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736B59F">
            <w:pPr>
              <w:widowControl/>
              <w:spacing w:after="150"/>
              <w:jc w:val="center"/>
              <w:rPr>
                <w:rFonts w:ascii="宋体" w:hAnsi="宋体" w:eastAsia="宋体" w:cs="宋体"/>
                <w:kern w:val="0"/>
                <w:sz w:val="24"/>
                <w:szCs w:val="24"/>
              </w:rPr>
            </w:pPr>
            <w:r>
              <w:rPr>
                <w:rFonts w:hint="eastAsia" w:ascii="宋体" w:hAnsi="宋体" w:eastAsia="宋体" w:cs="宋体"/>
                <w:b/>
                <w:bCs/>
                <w:color w:val="000000"/>
                <w:kern w:val="0"/>
                <w:sz w:val="23"/>
                <w:szCs w:val="23"/>
              </w:rPr>
              <w:t>一</w:t>
            </w:r>
          </w:p>
        </w:tc>
        <w:tc>
          <w:tcPr>
            <w:tcW w:w="0" w:type="auto"/>
            <w:gridSpan w:val="6"/>
            <w:tcBorders>
              <w:top w:val="nil"/>
              <w:left w:val="nil"/>
              <w:bottom w:val="single" w:color="auto" w:sz="6" w:space="0"/>
              <w:right w:val="single" w:color="000000" w:sz="6" w:space="0"/>
            </w:tcBorders>
            <w:shd w:val="clear" w:color="auto" w:fill="FFFFFF"/>
            <w:tcMar>
              <w:top w:w="0" w:type="dxa"/>
              <w:left w:w="105" w:type="dxa"/>
              <w:bottom w:w="0" w:type="dxa"/>
              <w:right w:w="105" w:type="dxa"/>
            </w:tcMar>
            <w:vAlign w:val="center"/>
          </w:tcPr>
          <w:p w14:paraId="43DF0106">
            <w:pPr>
              <w:widowControl/>
              <w:spacing w:after="150"/>
              <w:jc w:val="left"/>
              <w:rPr>
                <w:rFonts w:ascii="宋体" w:hAnsi="宋体" w:eastAsia="宋体" w:cs="宋体"/>
                <w:kern w:val="0"/>
                <w:sz w:val="24"/>
                <w:szCs w:val="24"/>
              </w:rPr>
            </w:pPr>
            <w:r>
              <w:rPr>
                <w:rFonts w:hint="eastAsia" w:ascii="宋体" w:hAnsi="宋体" w:eastAsia="宋体" w:cs="宋体"/>
                <w:b/>
                <w:bCs/>
                <w:color w:val="000000"/>
                <w:kern w:val="0"/>
                <w:sz w:val="23"/>
                <w:szCs w:val="23"/>
              </w:rPr>
              <w:t>服务器</w:t>
            </w:r>
          </w:p>
        </w:tc>
      </w:tr>
      <w:tr w14:paraId="035FF28D">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5" w:hRule="atLeast"/>
        </w:trPr>
        <w:tc>
          <w:tcPr>
            <w:tcW w:w="0" w:type="auto"/>
            <w:vMerge w:val="restart"/>
            <w:tcBorders>
              <w:top w:val="nil"/>
              <w:left w:val="single" w:color="auto" w:sz="6" w:space="0"/>
              <w:bottom w:val="single" w:color="000000" w:sz="6" w:space="0"/>
              <w:right w:val="single" w:color="auto" w:sz="6" w:space="0"/>
            </w:tcBorders>
            <w:shd w:val="clear" w:color="auto" w:fill="FFFFFF"/>
            <w:tcMar>
              <w:top w:w="0" w:type="dxa"/>
              <w:left w:w="105" w:type="dxa"/>
              <w:bottom w:w="0" w:type="dxa"/>
              <w:right w:w="105" w:type="dxa"/>
            </w:tcMar>
            <w:vAlign w:val="center"/>
          </w:tcPr>
          <w:p w14:paraId="2D620352">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1</w:t>
            </w:r>
          </w:p>
        </w:tc>
        <w:tc>
          <w:tcPr>
            <w:tcW w:w="0" w:type="auto"/>
            <w:vMerge w:val="restart"/>
            <w:tcBorders>
              <w:top w:val="nil"/>
              <w:left w:val="nil"/>
              <w:bottom w:val="single" w:color="000000" w:sz="6" w:space="0"/>
              <w:right w:val="single" w:color="auto" w:sz="6" w:space="0"/>
            </w:tcBorders>
            <w:shd w:val="clear" w:color="auto" w:fill="FFFFFF"/>
            <w:tcMar>
              <w:top w:w="0" w:type="dxa"/>
              <w:left w:w="105" w:type="dxa"/>
              <w:bottom w:w="0" w:type="dxa"/>
              <w:right w:w="105" w:type="dxa"/>
            </w:tcMar>
            <w:vAlign w:val="center"/>
          </w:tcPr>
          <w:p w14:paraId="6D802836">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数据库服务器高性能计算节点</w:t>
            </w: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671BEAB">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1、规格：2U 2路X86服务器，标配原厂导轨；国产，非OEM产品；</w:t>
            </w:r>
          </w:p>
        </w:tc>
        <w:tc>
          <w:tcPr>
            <w:tcW w:w="0" w:type="auto"/>
            <w:vMerge w:val="restart"/>
            <w:tcBorders>
              <w:top w:val="nil"/>
              <w:left w:val="nil"/>
              <w:bottom w:val="single" w:color="000000" w:sz="6" w:space="0"/>
              <w:right w:val="single" w:color="auto" w:sz="6" w:space="0"/>
            </w:tcBorders>
            <w:shd w:val="clear" w:color="auto" w:fill="FFFFFF"/>
            <w:tcMar>
              <w:top w:w="0" w:type="dxa"/>
              <w:left w:w="105" w:type="dxa"/>
              <w:bottom w:w="0" w:type="dxa"/>
              <w:right w:w="105" w:type="dxa"/>
            </w:tcMar>
            <w:vAlign w:val="center"/>
          </w:tcPr>
          <w:p w14:paraId="27B323F4">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台</w:t>
            </w:r>
          </w:p>
        </w:tc>
        <w:tc>
          <w:tcPr>
            <w:tcW w:w="0" w:type="auto"/>
            <w:vMerge w:val="restart"/>
            <w:tcBorders>
              <w:top w:val="nil"/>
              <w:left w:val="nil"/>
              <w:bottom w:val="single" w:color="000000" w:sz="6" w:space="0"/>
              <w:right w:val="single" w:color="auto" w:sz="6" w:space="0"/>
            </w:tcBorders>
            <w:shd w:val="clear" w:color="auto" w:fill="FFFFFF"/>
            <w:tcMar>
              <w:top w:w="0" w:type="dxa"/>
              <w:left w:w="105" w:type="dxa"/>
              <w:bottom w:w="0" w:type="dxa"/>
              <w:right w:w="105" w:type="dxa"/>
            </w:tcMar>
            <w:vAlign w:val="center"/>
          </w:tcPr>
          <w:p w14:paraId="1C8B535B">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12</w:t>
            </w:r>
          </w:p>
        </w:tc>
        <w:tc>
          <w:tcPr>
            <w:tcW w:w="0" w:type="auto"/>
            <w:vMerge w:val="restart"/>
            <w:tcBorders>
              <w:top w:val="nil"/>
              <w:left w:val="nil"/>
              <w:bottom w:val="single" w:color="000000" w:sz="6" w:space="0"/>
              <w:right w:val="single" w:color="auto" w:sz="6" w:space="0"/>
            </w:tcBorders>
            <w:shd w:val="clear" w:color="auto" w:fill="FFFFFF"/>
            <w:tcMar>
              <w:top w:w="0" w:type="dxa"/>
              <w:left w:w="105" w:type="dxa"/>
              <w:bottom w:w="0" w:type="dxa"/>
              <w:right w:w="105" w:type="dxa"/>
            </w:tcMar>
            <w:vAlign w:val="center"/>
          </w:tcPr>
          <w:p w14:paraId="1C8B206D">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3</w:t>
            </w:r>
          </w:p>
        </w:tc>
        <w:tc>
          <w:tcPr>
            <w:tcW w:w="0" w:type="auto"/>
            <w:vMerge w:val="restart"/>
            <w:tcBorders>
              <w:top w:val="nil"/>
              <w:left w:val="nil"/>
              <w:bottom w:val="single" w:color="000000" w:sz="6" w:space="0"/>
              <w:right w:val="single" w:color="auto" w:sz="6" w:space="0"/>
            </w:tcBorders>
            <w:shd w:val="clear" w:color="auto" w:fill="FFFFFF"/>
            <w:tcMar>
              <w:top w:w="0" w:type="dxa"/>
              <w:left w:w="105" w:type="dxa"/>
              <w:bottom w:w="0" w:type="dxa"/>
              <w:right w:w="105" w:type="dxa"/>
            </w:tcMar>
            <w:vAlign w:val="center"/>
          </w:tcPr>
          <w:p w14:paraId="3AFEB887">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15</w:t>
            </w:r>
          </w:p>
        </w:tc>
      </w:tr>
      <w:tr w14:paraId="29666517">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5" w:hRule="atLeast"/>
        </w:trPr>
        <w:tc>
          <w:tcPr>
            <w:tcW w:w="0" w:type="auto"/>
            <w:vMerge w:val="continue"/>
            <w:tcBorders>
              <w:top w:val="nil"/>
              <w:left w:val="single" w:color="auto" w:sz="6" w:space="0"/>
              <w:bottom w:val="single" w:color="000000" w:sz="6" w:space="0"/>
              <w:right w:val="single" w:color="auto" w:sz="6" w:space="0"/>
            </w:tcBorders>
            <w:shd w:val="clear" w:color="auto" w:fill="auto"/>
            <w:vAlign w:val="center"/>
          </w:tcPr>
          <w:p w14:paraId="2E5DEF9B">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14:paraId="18A8F26A">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3F1846D">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2、处理器：物理处理器2颗，每颗≥2.2G/24核；</w:t>
            </w:r>
          </w:p>
        </w:tc>
        <w:tc>
          <w:tcPr>
            <w:tcW w:w="0" w:type="auto"/>
            <w:vMerge w:val="continue"/>
            <w:tcBorders>
              <w:top w:val="nil"/>
              <w:left w:val="nil"/>
              <w:bottom w:val="single" w:color="000000" w:sz="6" w:space="0"/>
              <w:right w:val="single" w:color="auto" w:sz="6" w:space="0"/>
            </w:tcBorders>
            <w:shd w:val="clear" w:color="auto" w:fill="auto"/>
            <w:vAlign w:val="center"/>
          </w:tcPr>
          <w:p w14:paraId="1474E0FD">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14:paraId="11F8C209">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14:paraId="52EB4693">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14:paraId="74D89176">
            <w:pPr>
              <w:widowControl/>
              <w:jc w:val="left"/>
              <w:rPr>
                <w:rFonts w:ascii="宋体" w:hAnsi="宋体" w:eastAsia="宋体" w:cs="宋体"/>
                <w:kern w:val="0"/>
                <w:sz w:val="24"/>
                <w:szCs w:val="24"/>
              </w:rPr>
            </w:pPr>
          </w:p>
        </w:tc>
      </w:tr>
      <w:tr w14:paraId="7BD63C63">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5" w:hRule="atLeast"/>
        </w:trPr>
        <w:tc>
          <w:tcPr>
            <w:tcW w:w="0" w:type="auto"/>
            <w:vMerge w:val="continue"/>
            <w:tcBorders>
              <w:top w:val="nil"/>
              <w:left w:val="single" w:color="auto" w:sz="6" w:space="0"/>
              <w:bottom w:val="single" w:color="000000" w:sz="6" w:space="0"/>
              <w:right w:val="single" w:color="auto" w:sz="6" w:space="0"/>
            </w:tcBorders>
            <w:shd w:val="clear" w:color="auto" w:fill="auto"/>
            <w:vAlign w:val="center"/>
          </w:tcPr>
          <w:p w14:paraId="33214BC9">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14:paraId="76D2D906">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C1CA25E">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3、配置≥640GB     DDR4内存；</w:t>
            </w:r>
          </w:p>
        </w:tc>
        <w:tc>
          <w:tcPr>
            <w:tcW w:w="0" w:type="auto"/>
            <w:vMerge w:val="continue"/>
            <w:tcBorders>
              <w:top w:val="nil"/>
              <w:left w:val="nil"/>
              <w:bottom w:val="single" w:color="000000" w:sz="6" w:space="0"/>
              <w:right w:val="single" w:color="auto" w:sz="6" w:space="0"/>
            </w:tcBorders>
            <w:shd w:val="clear" w:color="auto" w:fill="auto"/>
            <w:vAlign w:val="center"/>
          </w:tcPr>
          <w:p w14:paraId="2F45B1DA">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14:paraId="08AB85C2">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14:paraId="641CC3EC">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14:paraId="0BB718B4">
            <w:pPr>
              <w:widowControl/>
              <w:jc w:val="left"/>
              <w:rPr>
                <w:rFonts w:ascii="宋体" w:hAnsi="宋体" w:eastAsia="宋体" w:cs="宋体"/>
                <w:kern w:val="0"/>
                <w:sz w:val="24"/>
                <w:szCs w:val="24"/>
              </w:rPr>
            </w:pPr>
          </w:p>
        </w:tc>
      </w:tr>
      <w:tr w14:paraId="42DE07BA">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5" w:hRule="atLeast"/>
        </w:trPr>
        <w:tc>
          <w:tcPr>
            <w:tcW w:w="0" w:type="auto"/>
            <w:vMerge w:val="continue"/>
            <w:tcBorders>
              <w:top w:val="nil"/>
              <w:left w:val="single" w:color="auto" w:sz="6" w:space="0"/>
              <w:bottom w:val="single" w:color="000000" w:sz="6" w:space="0"/>
              <w:right w:val="single" w:color="auto" w:sz="6" w:space="0"/>
            </w:tcBorders>
            <w:shd w:val="clear" w:color="auto" w:fill="auto"/>
            <w:vAlign w:val="center"/>
          </w:tcPr>
          <w:p w14:paraId="35D6F9A0">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14:paraId="225D21C2">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904F1CD">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4、配置1张2GB缓存独立RAID卡，配置超级电容，支持RAID0/1/10/5/6/50等级别；</w:t>
            </w:r>
          </w:p>
        </w:tc>
        <w:tc>
          <w:tcPr>
            <w:tcW w:w="0" w:type="auto"/>
            <w:vMerge w:val="continue"/>
            <w:tcBorders>
              <w:top w:val="nil"/>
              <w:left w:val="nil"/>
              <w:bottom w:val="single" w:color="000000" w:sz="6" w:space="0"/>
              <w:right w:val="single" w:color="auto" w:sz="6" w:space="0"/>
            </w:tcBorders>
            <w:shd w:val="clear" w:color="auto" w:fill="auto"/>
            <w:vAlign w:val="center"/>
          </w:tcPr>
          <w:p w14:paraId="30D19797">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14:paraId="43B4CA38">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14:paraId="5839464F">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14:paraId="3B254784">
            <w:pPr>
              <w:widowControl/>
              <w:jc w:val="left"/>
              <w:rPr>
                <w:rFonts w:ascii="宋体" w:hAnsi="宋体" w:eastAsia="宋体" w:cs="宋体"/>
                <w:kern w:val="0"/>
                <w:sz w:val="24"/>
                <w:szCs w:val="24"/>
              </w:rPr>
            </w:pPr>
          </w:p>
        </w:tc>
      </w:tr>
      <w:tr w14:paraId="2706AA11">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5" w:hRule="atLeast"/>
        </w:trPr>
        <w:tc>
          <w:tcPr>
            <w:tcW w:w="0" w:type="auto"/>
            <w:vMerge w:val="continue"/>
            <w:tcBorders>
              <w:top w:val="nil"/>
              <w:left w:val="single" w:color="auto" w:sz="6" w:space="0"/>
              <w:bottom w:val="single" w:color="000000" w:sz="6" w:space="0"/>
              <w:right w:val="single" w:color="auto" w:sz="6" w:space="0"/>
            </w:tcBorders>
            <w:shd w:val="clear" w:color="auto" w:fill="auto"/>
            <w:vAlign w:val="center"/>
          </w:tcPr>
          <w:p w14:paraId="455B97DA">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14:paraId="266B0C04">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9B2DA63">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5、配置≥2*960GB     SSD硬盘；</w:t>
            </w:r>
          </w:p>
        </w:tc>
        <w:tc>
          <w:tcPr>
            <w:tcW w:w="0" w:type="auto"/>
            <w:vMerge w:val="continue"/>
            <w:tcBorders>
              <w:top w:val="nil"/>
              <w:left w:val="nil"/>
              <w:bottom w:val="single" w:color="000000" w:sz="6" w:space="0"/>
              <w:right w:val="single" w:color="auto" w:sz="6" w:space="0"/>
            </w:tcBorders>
            <w:shd w:val="clear" w:color="auto" w:fill="auto"/>
            <w:vAlign w:val="center"/>
          </w:tcPr>
          <w:p w14:paraId="6025AE55">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14:paraId="5267D69D">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14:paraId="338446FD">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14:paraId="6F09B97C">
            <w:pPr>
              <w:widowControl/>
              <w:jc w:val="left"/>
              <w:rPr>
                <w:rFonts w:ascii="宋体" w:hAnsi="宋体" w:eastAsia="宋体" w:cs="宋体"/>
                <w:kern w:val="0"/>
                <w:sz w:val="24"/>
                <w:szCs w:val="24"/>
              </w:rPr>
            </w:pPr>
          </w:p>
        </w:tc>
      </w:tr>
      <w:tr w14:paraId="0A04D5B5">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5" w:hRule="atLeast"/>
        </w:trPr>
        <w:tc>
          <w:tcPr>
            <w:tcW w:w="0" w:type="auto"/>
            <w:vMerge w:val="continue"/>
            <w:tcBorders>
              <w:top w:val="nil"/>
              <w:left w:val="single" w:color="auto" w:sz="6" w:space="0"/>
              <w:bottom w:val="single" w:color="000000" w:sz="6" w:space="0"/>
              <w:right w:val="single" w:color="auto" w:sz="6" w:space="0"/>
            </w:tcBorders>
            <w:shd w:val="clear" w:color="auto" w:fill="auto"/>
            <w:vAlign w:val="center"/>
          </w:tcPr>
          <w:p w14:paraId="60FC3548">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14:paraId="1B98975E">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916DC73">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6、配置≥4个1GE电口，4个10GE光口，满配多模光模块；</w:t>
            </w:r>
          </w:p>
        </w:tc>
        <w:tc>
          <w:tcPr>
            <w:tcW w:w="0" w:type="auto"/>
            <w:vMerge w:val="continue"/>
            <w:tcBorders>
              <w:top w:val="nil"/>
              <w:left w:val="nil"/>
              <w:bottom w:val="single" w:color="000000" w:sz="6" w:space="0"/>
              <w:right w:val="single" w:color="auto" w:sz="6" w:space="0"/>
            </w:tcBorders>
            <w:shd w:val="clear" w:color="auto" w:fill="auto"/>
            <w:vAlign w:val="center"/>
          </w:tcPr>
          <w:p w14:paraId="0F367A08">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14:paraId="400BFC3D">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14:paraId="5D5A2E67">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14:paraId="5E7FE30A">
            <w:pPr>
              <w:widowControl/>
              <w:jc w:val="left"/>
              <w:rPr>
                <w:rFonts w:ascii="宋体" w:hAnsi="宋体" w:eastAsia="宋体" w:cs="宋体"/>
                <w:kern w:val="0"/>
                <w:sz w:val="24"/>
                <w:szCs w:val="24"/>
              </w:rPr>
            </w:pPr>
          </w:p>
        </w:tc>
      </w:tr>
      <w:tr w14:paraId="629AFAE9">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5" w:hRule="atLeast"/>
        </w:trPr>
        <w:tc>
          <w:tcPr>
            <w:tcW w:w="0" w:type="auto"/>
            <w:vMerge w:val="continue"/>
            <w:tcBorders>
              <w:top w:val="nil"/>
              <w:left w:val="single" w:color="auto" w:sz="6" w:space="0"/>
              <w:bottom w:val="single" w:color="000000" w:sz="6" w:space="0"/>
              <w:right w:val="single" w:color="auto" w:sz="6" w:space="0"/>
            </w:tcBorders>
            <w:shd w:val="clear" w:color="auto" w:fill="auto"/>
            <w:vAlign w:val="center"/>
          </w:tcPr>
          <w:p w14:paraId="2A98717A">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14:paraId="714EF3CA">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65E8103">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7、配置2个热拔插冗余交流电源，   满配风扇模块</w:t>
            </w:r>
          </w:p>
        </w:tc>
        <w:tc>
          <w:tcPr>
            <w:tcW w:w="0" w:type="auto"/>
            <w:vMerge w:val="continue"/>
            <w:tcBorders>
              <w:top w:val="nil"/>
              <w:left w:val="nil"/>
              <w:bottom w:val="single" w:color="000000" w:sz="6" w:space="0"/>
              <w:right w:val="single" w:color="auto" w:sz="6" w:space="0"/>
            </w:tcBorders>
            <w:shd w:val="clear" w:color="auto" w:fill="auto"/>
            <w:vAlign w:val="center"/>
          </w:tcPr>
          <w:p w14:paraId="554B20EA">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14:paraId="2205EFF7">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14:paraId="3485CB63">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14:paraId="424501B6">
            <w:pPr>
              <w:widowControl/>
              <w:jc w:val="left"/>
              <w:rPr>
                <w:rFonts w:ascii="宋体" w:hAnsi="宋体" w:eastAsia="宋体" w:cs="宋体"/>
                <w:kern w:val="0"/>
                <w:sz w:val="24"/>
                <w:szCs w:val="24"/>
              </w:rPr>
            </w:pPr>
          </w:p>
        </w:tc>
      </w:tr>
      <w:tr w14:paraId="23DE987D">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5" w:hRule="atLeast"/>
        </w:trPr>
        <w:tc>
          <w:tcPr>
            <w:tcW w:w="0" w:type="auto"/>
            <w:vMerge w:val="restart"/>
            <w:tcBorders>
              <w:top w:val="nil"/>
              <w:left w:val="single" w:color="auto" w:sz="6" w:space="0"/>
              <w:bottom w:val="single" w:color="000000" w:sz="6" w:space="0"/>
              <w:right w:val="single" w:color="auto" w:sz="6" w:space="0"/>
            </w:tcBorders>
            <w:shd w:val="clear" w:color="auto" w:fill="FFFFFF"/>
            <w:tcMar>
              <w:top w:w="0" w:type="dxa"/>
              <w:left w:w="105" w:type="dxa"/>
              <w:bottom w:w="0" w:type="dxa"/>
              <w:right w:w="105" w:type="dxa"/>
            </w:tcMar>
            <w:vAlign w:val="center"/>
          </w:tcPr>
          <w:p w14:paraId="3DE40708">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2</w:t>
            </w:r>
          </w:p>
        </w:tc>
        <w:tc>
          <w:tcPr>
            <w:tcW w:w="0" w:type="auto"/>
            <w:vMerge w:val="restart"/>
            <w:tcBorders>
              <w:top w:val="nil"/>
              <w:left w:val="nil"/>
              <w:bottom w:val="single" w:color="000000" w:sz="6" w:space="0"/>
              <w:right w:val="single" w:color="auto" w:sz="6" w:space="0"/>
            </w:tcBorders>
            <w:shd w:val="clear" w:color="auto" w:fill="FFFFFF"/>
            <w:tcMar>
              <w:top w:w="0" w:type="dxa"/>
              <w:left w:w="105" w:type="dxa"/>
              <w:bottom w:w="0" w:type="dxa"/>
              <w:right w:w="105" w:type="dxa"/>
            </w:tcMar>
            <w:vAlign w:val="center"/>
          </w:tcPr>
          <w:p w14:paraId="149F5C17">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数据库服务器计算节点A</w:t>
            </w: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4399DCA">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1、规格：2U 2路X86服务器，标配原厂导轨；国产，非OEM产品；</w:t>
            </w:r>
          </w:p>
        </w:tc>
        <w:tc>
          <w:tcPr>
            <w:tcW w:w="0" w:type="auto"/>
            <w:vMerge w:val="restart"/>
            <w:tcBorders>
              <w:top w:val="nil"/>
              <w:left w:val="nil"/>
              <w:bottom w:val="nil"/>
              <w:right w:val="single" w:color="auto" w:sz="6" w:space="0"/>
            </w:tcBorders>
            <w:shd w:val="clear" w:color="auto" w:fill="FFFFFF"/>
            <w:tcMar>
              <w:top w:w="0" w:type="dxa"/>
              <w:left w:w="105" w:type="dxa"/>
              <w:bottom w:w="0" w:type="dxa"/>
              <w:right w:w="105" w:type="dxa"/>
            </w:tcMar>
            <w:vAlign w:val="center"/>
          </w:tcPr>
          <w:p w14:paraId="2678F643">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台</w:t>
            </w:r>
          </w:p>
        </w:tc>
        <w:tc>
          <w:tcPr>
            <w:tcW w:w="0" w:type="auto"/>
            <w:vMerge w:val="restart"/>
            <w:tcBorders>
              <w:top w:val="nil"/>
              <w:left w:val="nil"/>
              <w:bottom w:val="nil"/>
              <w:right w:val="single" w:color="auto" w:sz="6" w:space="0"/>
            </w:tcBorders>
            <w:shd w:val="clear" w:color="auto" w:fill="FFFFFF"/>
            <w:tcMar>
              <w:top w:w="0" w:type="dxa"/>
              <w:left w:w="105" w:type="dxa"/>
              <w:bottom w:w="0" w:type="dxa"/>
              <w:right w:w="105" w:type="dxa"/>
            </w:tcMar>
            <w:vAlign w:val="center"/>
          </w:tcPr>
          <w:p w14:paraId="2838BE98">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9</w:t>
            </w:r>
          </w:p>
        </w:tc>
        <w:tc>
          <w:tcPr>
            <w:tcW w:w="0" w:type="auto"/>
            <w:vMerge w:val="restart"/>
            <w:tcBorders>
              <w:top w:val="nil"/>
              <w:left w:val="nil"/>
              <w:bottom w:val="nil"/>
              <w:right w:val="single" w:color="auto" w:sz="6" w:space="0"/>
            </w:tcBorders>
            <w:shd w:val="clear" w:color="auto" w:fill="FFFFFF"/>
            <w:tcMar>
              <w:top w:w="0" w:type="dxa"/>
              <w:left w:w="105" w:type="dxa"/>
              <w:bottom w:w="0" w:type="dxa"/>
              <w:right w:w="105" w:type="dxa"/>
            </w:tcMar>
            <w:vAlign w:val="center"/>
          </w:tcPr>
          <w:p w14:paraId="42F577FD">
            <w:pPr>
              <w:widowControl/>
              <w:jc w:val="left"/>
              <w:rPr>
                <w:rFonts w:ascii="宋体" w:hAnsi="宋体" w:eastAsia="宋体" w:cs="宋体"/>
                <w:kern w:val="0"/>
                <w:sz w:val="24"/>
                <w:szCs w:val="24"/>
              </w:rPr>
            </w:pPr>
          </w:p>
        </w:tc>
        <w:tc>
          <w:tcPr>
            <w:tcW w:w="0" w:type="auto"/>
            <w:vMerge w:val="restart"/>
            <w:tcBorders>
              <w:top w:val="nil"/>
              <w:left w:val="nil"/>
              <w:bottom w:val="nil"/>
              <w:right w:val="single" w:color="auto" w:sz="6" w:space="0"/>
            </w:tcBorders>
            <w:shd w:val="clear" w:color="auto" w:fill="FFFFFF"/>
            <w:tcMar>
              <w:top w:w="0" w:type="dxa"/>
              <w:left w:w="105" w:type="dxa"/>
              <w:bottom w:w="0" w:type="dxa"/>
              <w:right w:w="105" w:type="dxa"/>
            </w:tcMar>
            <w:vAlign w:val="center"/>
          </w:tcPr>
          <w:p w14:paraId="2827787E">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9</w:t>
            </w:r>
          </w:p>
        </w:tc>
      </w:tr>
      <w:tr w14:paraId="716C1324">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5" w:hRule="atLeast"/>
        </w:trPr>
        <w:tc>
          <w:tcPr>
            <w:tcW w:w="0" w:type="auto"/>
            <w:vMerge w:val="continue"/>
            <w:tcBorders>
              <w:top w:val="nil"/>
              <w:left w:val="single" w:color="auto" w:sz="6" w:space="0"/>
              <w:bottom w:val="single" w:color="000000" w:sz="6" w:space="0"/>
              <w:right w:val="single" w:color="auto" w:sz="6" w:space="0"/>
            </w:tcBorders>
            <w:shd w:val="clear" w:color="auto" w:fill="auto"/>
            <w:vAlign w:val="center"/>
          </w:tcPr>
          <w:p w14:paraId="040927D1">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14:paraId="58ED0BAF">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46A2B7F">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2、处理器：物理处理器2颗，每颗≥2.1G/16核；</w:t>
            </w:r>
          </w:p>
        </w:tc>
        <w:tc>
          <w:tcPr>
            <w:tcW w:w="0" w:type="auto"/>
            <w:vMerge w:val="continue"/>
            <w:tcBorders>
              <w:top w:val="nil"/>
              <w:left w:val="nil"/>
              <w:bottom w:val="nil"/>
              <w:right w:val="single" w:color="auto" w:sz="6" w:space="0"/>
            </w:tcBorders>
            <w:shd w:val="clear" w:color="auto" w:fill="auto"/>
            <w:vAlign w:val="center"/>
          </w:tcPr>
          <w:p w14:paraId="5F313A5C">
            <w:pPr>
              <w:widowControl/>
              <w:jc w:val="left"/>
              <w:rPr>
                <w:rFonts w:ascii="宋体" w:hAnsi="宋体" w:eastAsia="宋体" w:cs="宋体"/>
                <w:kern w:val="0"/>
                <w:sz w:val="24"/>
                <w:szCs w:val="24"/>
              </w:rPr>
            </w:pPr>
          </w:p>
        </w:tc>
        <w:tc>
          <w:tcPr>
            <w:tcW w:w="0" w:type="auto"/>
            <w:vMerge w:val="continue"/>
            <w:tcBorders>
              <w:top w:val="nil"/>
              <w:left w:val="nil"/>
              <w:bottom w:val="nil"/>
              <w:right w:val="single" w:color="auto" w:sz="6" w:space="0"/>
            </w:tcBorders>
            <w:shd w:val="clear" w:color="auto" w:fill="auto"/>
            <w:vAlign w:val="center"/>
          </w:tcPr>
          <w:p w14:paraId="545E696E">
            <w:pPr>
              <w:widowControl/>
              <w:jc w:val="left"/>
              <w:rPr>
                <w:rFonts w:ascii="宋体" w:hAnsi="宋体" w:eastAsia="宋体" w:cs="宋体"/>
                <w:kern w:val="0"/>
                <w:sz w:val="24"/>
                <w:szCs w:val="24"/>
              </w:rPr>
            </w:pPr>
          </w:p>
        </w:tc>
        <w:tc>
          <w:tcPr>
            <w:tcW w:w="0" w:type="auto"/>
            <w:vMerge w:val="continue"/>
            <w:tcBorders>
              <w:top w:val="nil"/>
              <w:left w:val="nil"/>
              <w:bottom w:val="nil"/>
              <w:right w:val="single" w:color="auto" w:sz="6" w:space="0"/>
            </w:tcBorders>
            <w:shd w:val="clear" w:color="auto" w:fill="auto"/>
            <w:vAlign w:val="center"/>
          </w:tcPr>
          <w:p w14:paraId="29613815">
            <w:pPr>
              <w:widowControl/>
              <w:jc w:val="left"/>
              <w:rPr>
                <w:rFonts w:ascii="宋体" w:hAnsi="宋体" w:eastAsia="宋体" w:cs="宋体"/>
                <w:kern w:val="0"/>
                <w:sz w:val="24"/>
                <w:szCs w:val="24"/>
              </w:rPr>
            </w:pPr>
          </w:p>
        </w:tc>
        <w:tc>
          <w:tcPr>
            <w:tcW w:w="0" w:type="auto"/>
            <w:vMerge w:val="continue"/>
            <w:tcBorders>
              <w:top w:val="nil"/>
              <w:left w:val="nil"/>
              <w:bottom w:val="nil"/>
              <w:right w:val="single" w:color="auto" w:sz="6" w:space="0"/>
            </w:tcBorders>
            <w:shd w:val="clear" w:color="auto" w:fill="auto"/>
            <w:vAlign w:val="center"/>
          </w:tcPr>
          <w:p w14:paraId="7D5FC5C9">
            <w:pPr>
              <w:widowControl/>
              <w:jc w:val="left"/>
              <w:rPr>
                <w:rFonts w:ascii="宋体" w:hAnsi="宋体" w:eastAsia="宋体" w:cs="宋体"/>
                <w:kern w:val="0"/>
                <w:sz w:val="24"/>
                <w:szCs w:val="24"/>
              </w:rPr>
            </w:pPr>
          </w:p>
        </w:tc>
      </w:tr>
      <w:tr w14:paraId="4965644F">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5" w:hRule="atLeast"/>
        </w:trPr>
        <w:tc>
          <w:tcPr>
            <w:tcW w:w="0" w:type="auto"/>
            <w:vMerge w:val="continue"/>
            <w:tcBorders>
              <w:top w:val="nil"/>
              <w:left w:val="single" w:color="auto" w:sz="6" w:space="0"/>
              <w:bottom w:val="single" w:color="000000" w:sz="6" w:space="0"/>
              <w:right w:val="single" w:color="auto" w:sz="6" w:space="0"/>
            </w:tcBorders>
            <w:shd w:val="clear" w:color="auto" w:fill="auto"/>
            <w:vAlign w:val="center"/>
          </w:tcPr>
          <w:p w14:paraId="4F5A9AA0">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14:paraId="6E2B5722">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1053DF1">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3、配置≥640GB     DDR4内存；</w:t>
            </w:r>
          </w:p>
        </w:tc>
        <w:tc>
          <w:tcPr>
            <w:tcW w:w="0" w:type="auto"/>
            <w:vMerge w:val="continue"/>
            <w:tcBorders>
              <w:top w:val="nil"/>
              <w:left w:val="nil"/>
              <w:bottom w:val="nil"/>
              <w:right w:val="single" w:color="auto" w:sz="6" w:space="0"/>
            </w:tcBorders>
            <w:shd w:val="clear" w:color="auto" w:fill="auto"/>
            <w:vAlign w:val="center"/>
          </w:tcPr>
          <w:p w14:paraId="272D72C5">
            <w:pPr>
              <w:widowControl/>
              <w:jc w:val="left"/>
              <w:rPr>
                <w:rFonts w:ascii="宋体" w:hAnsi="宋体" w:eastAsia="宋体" w:cs="宋体"/>
                <w:kern w:val="0"/>
                <w:sz w:val="24"/>
                <w:szCs w:val="24"/>
              </w:rPr>
            </w:pPr>
          </w:p>
        </w:tc>
        <w:tc>
          <w:tcPr>
            <w:tcW w:w="0" w:type="auto"/>
            <w:vMerge w:val="continue"/>
            <w:tcBorders>
              <w:top w:val="nil"/>
              <w:left w:val="nil"/>
              <w:bottom w:val="nil"/>
              <w:right w:val="single" w:color="auto" w:sz="6" w:space="0"/>
            </w:tcBorders>
            <w:shd w:val="clear" w:color="auto" w:fill="auto"/>
            <w:vAlign w:val="center"/>
          </w:tcPr>
          <w:p w14:paraId="5C80741C">
            <w:pPr>
              <w:widowControl/>
              <w:jc w:val="left"/>
              <w:rPr>
                <w:rFonts w:ascii="宋体" w:hAnsi="宋体" w:eastAsia="宋体" w:cs="宋体"/>
                <w:kern w:val="0"/>
                <w:sz w:val="24"/>
                <w:szCs w:val="24"/>
              </w:rPr>
            </w:pPr>
          </w:p>
        </w:tc>
        <w:tc>
          <w:tcPr>
            <w:tcW w:w="0" w:type="auto"/>
            <w:vMerge w:val="continue"/>
            <w:tcBorders>
              <w:top w:val="nil"/>
              <w:left w:val="nil"/>
              <w:bottom w:val="nil"/>
              <w:right w:val="single" w:color="auto" w:sz="6" w:space="0"/>
            </w:tcBorders>
            <w:shd w:val="clear" w:color="auto" w:fill="auto"/>
            <w:vAlign w:val="center"/>
          </w:tcPr>
          <w:p w14:paraId="279C4CA2">
            <w:pPr>
              <w:widowControl/>
              <w:jc w:val="left"/>
              <w:rPr>
                <w:rFonts w:ascii="宋体" w:hAnsi="宋体" w:eastAsia="宋体" w:cs="宋体"/>
                <w:kern w:val="0"/>
                <w:sz w:val="24"/>
                <w:szCs w:val="24"/>
              </w:rPr>
            </w:pPr>
          </w:p>
        </w:tc>
        <w:tc>
          <w:tcPr>
            <w:tcW w:w="0" w:type="auto"/>
            <w:vMerge w:val="continue"/>
            <w:tcBorders>
              <w:top w:val="nil"/>
              <w:left w:val="nil"/>
              <w:bottom w:val="nil"/>
              <w:right w:val="single" w:color="auto" w:sz="6" w:space="0"/>
            </w:tcBorders>
            <w:shd w:val="clear" w:color="auto" w:fill="auto"/>
            <w:vAlign w:val="center"/>
          </w:tcPr>
          <w:p w14:paraId="204E5DD9">
            <w:pPr>
              <w:widowControl/>
              <w:jc w:val="left"/>
              <w:rPr>
                <w:rFonts w:ascii="宋体" w:hAnsi="宋体" w:eastAsia="宋体" w:cs="宋体"/>
                <w:kern w:val="0"/>
                <w:sz w:val="24"/>
                <w:szCs w:val="24"/>
              </w:rPr>
            </w:pPr>
          </w:p>
        </w:tc>
      </w:tr>
      <w:tr w14:paraId="3563B05D">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5" w:hRule="atLeast"/>
        </w:trPr>
        <w:tc>
          <w:tcPr>
            <w:tcW w:w="0" w:type="auto"/>
            <w:vMerge w:val="continue"/>
            <w:tcBorders>
              <w:top w:val="nil"/>
              <w:left w:val="single" w:color="auto" w:sz="6" w:space="0"/>
              <w:bottom w:val="single" w:color="000000" w:sz="6" w:space="0"/>
              <w:right w:val="single" w:color="auto" w:sz="6" w:space="0"/>
            </w:tcBorders>
            <w:shd w:val="clear" w:color="auto" w:fill="auto"/>
            <w:vAlign w:val="center"/>
          </w:tcPr>
          <w:p w14:paraId="4E54EDF7">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14:paraId="673CB51F">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47E0DD8">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4、配置1张2GB缓存独立RAID卡，配置超级电容，支持RAID0/1/10/5/6/50等级别；</w:t>
            </w:r>
          </w:p>
        </w:tc>
        <w:tc>
          <w:tcPr>
            <w:tcW w:w="0" w:type="auto"/>
            <w:vMerge w:val="continue"/>
            <w:tcBorders>
              <w:top w:val="nil"/>
              <w:left w:val="nil"/>
              <w:bottom w:val="nil"/>
              <w:right w:val="single" w:color="auto" w:sz="6" w:space="0"/>
            </w:tcBorders>
            <w:shd w:val="clear" w:color="auto" w:fill="auto"/>
            <w:vAlign w:val="center"/>
          </w:tcPr>
          <w:p w14:paraId="742C3FF0">
            <w:pPr>
              <w:widowControl/>
              <w:jc w:val="left"/>
              <w:rPr>
                <w:rFonts w:ascii="宋体" w:hAnsi="宋体" w:eastAsia="宋体" w:cs="宋体"/>
                <w:kern w:val="0"/>
                <w:sz w:val="24"/>
                <w:szCs w:val="24"/>
              </w:rPr>
            </w:pPr>
          </w:p>
        </w:tc>
        <w:tc>
          <w:tcPr>
            <w:tcW w:w="0" w:type="auto"/>
            <w:vMerge w:val="continue"/>
            <w:tcBorders>
              <w:top w:val="nil"/>
              <w:left w:val="nil"/>
              <w:bottom w:val="nil"/>
              <w:right w:val="single" w:color="auto" w:sz="6" w:space="0"/>
            </w:tcBorders>
            <w:shd w:val="clear" w:color="auto" w:fill="auto"/>
            <w:vAlign w:val="center"/>
          </w:tcPr>
          <w:p w14:paraId="2B6E77EE">
            <w:pPr>
              <w:widowControl/>
              <w:jc w:val="left"/>
              <w:rPr>
                <w:rFonts w:ascii="宋体" w:hAnsi="宋体" w:eastAsia="宋体" w:cs="宋体"/>
                <w:kern w:val="0"/>
                <w:sz w:val="24"/>
                <w:szCs w:val="24"/>
              </w:rPr>
            </w:pPr>
          </w:p>
        </w:tc>
        <w:tc>
          <w:tcPr>
            <w:tcW w:w="0" w:type="auto"/>
            <w:vMerge w:val="continue"/>
            <w:tcBorders>
              <w:top w:val="nil"/>
              <w:left w:val="nil"/>
              <w:bottom w:val="nil"/>
              <w:right w:val="single" w:color="auto" w:sz="6" w:space="0"/>
            </w:tcBorders>
            <w:shd w:val="clear" w:color="auto" w:fill="auto"/>
            <w:vAlign w:val="center"/>
          </w:tcPr>
          <w:p w14:paraId="25009C61">
            <w:pPr>
              <w:widowControl/>
              <w:jc w:val="left"/>
              <w:rPr>
                <w:rFonts w:ascii="宋体" w:hAnsi="宋体" w:eastAsia="宋体" w:cs="宋体"/>
                <w:kern w:val="0"/>
                <w:sz w:val="24"/>
                <w:szCs w:val="24"/>
              </w:rPr>
            </w:pPr>
          </w:p>
        </w:tc>
        <w:tc>
          <w:tcPr>
            <w:tcW w:w="0" w:type="auto"/>
            <w:vMerge w:val="continue"/>
            <w:tcBorders>
              <w:top w:val="nil"/>
              <w:left w:val="nil"/>
              <w:bottom w:val="nil"/>
              <w:right w:val="single" w:color="auto" w:sz="6" w:space="0"/>
            </w:tcBorders>
            <w:shd w:val="clear" w:color="auto" w:fill="auto"/>
            <w:vAlign w:val="center"/>
          </w:tcPr>
          <w:p w14:paraId="12C147B4">
            <w:pPr>
              <w:widowControl/>
              <w:jc w:val="left"/>
              <w:rPr>
                <w:rFonts w:ascii="宋体" w:hAnsi="宋体" w:eastAsia="宋体" w:cs="宋体"/>
                <w:kern w:val="0"/>
                <w:sz w:val="24"/>
                <w:szCs w:val="24"/>
              </w:rPr>
            </w:pPr>
          </w:p>
        </w:tc>
      </w:tr>
      <w:tr w14:paraId="60C8628F">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5" w:hRule="atLeast"/>
        </w:trPr>
        <w:tc>
          <w:tcPr>
            <w:tcW w:w="0" w:type="auto"/>
            <w:vMerge w:val="continue"/>
            <w:tcBorders>
              <w:top w:val="nil"/>
              <w:left w:val="single" w:color="auto" w:sz="6" w:space="0"/>
              <w:bottom w:val="single" w:color="000000" w:sz="6" w:space="0"/>
              <w:right w:val="single" w:color="auto" w:sz="6" w:space="0"/>
            </w:tcBorders>
            <w:shd w:val="clear" w:color="auto" w:fill="auto"/>
            <w:vAlign w:val="center"/>
          </w:tcPr>
          <w:p w14:paraId="1752FEF2">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14:paraId="4451521E">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829C960">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5、配置≥2*960GB     SSD硬盘；</w:t>
            </w:r>
          </w:p>
        </w:tc>
        <w:tc>
          <w:tcPr>
            <w:tcW w:w="0" w:type="auto"/>
            <w:vMerge w:val="continue"/>
            <w:tcBorders>
              <w:top w:val="nil"/>
              <w:left w:val="nil"/>
              <w:bottom w:val="nil"/>
              <w:right w:val="single" w:color="auto" w:sz="6" w:space="0"/>
            </w:tcBorders>
            <w:shd w:val="clear" w:color="auto" w:fill="auto"/>
            <w:vAlign w:val="center"/>
          </w:tcPr>
          <w:p w14:paraId="26FED2B2">
            <w:pPr>
              <w:widowControl/>
              <w:jc w:val="left"/>
              <w:rPr>
                <w:rFonts w:ascii="宋体" w:hAnsi="宋体" w:eastAsia="宋体" w:cs="宋体"/>
                <w:kern w:val="0"/>
                <w:sz w:val="24"/>
                <w:szCs w:val="24"/>
              </w:rPr>
            </w:pPr>
          </w:p>
        </w:tc>
        <w:tc>
          <w:tcPr>
            <w:tcW w:w="0" w:type="auto"/>
            <w:vMerge w:val="continue"/>
            <w:tcBorders>
              <w:top w:val="nil"/>
              <w:left w:val="nil"/>
              <w:bottom w:val="nil"/>
              <w:right w:val="single" w:color="auto" w:sz="6" w:space="0"/>
            </w:tcBorders>
            <w:shd w:val="clear" w:color="auto" w:fill="auto"/>
            <w:vAlign w:val="center"/>
          </w:tcPr>
          <w:p w14:paraId="56942D9C">
            <w:pPr>
              <w:widowControl/>
              <w:jc w:val="left"/>
              <w:rPr>
                <w:rFonts w:ascii="宋体" w:hAnsi="宋体" w:eastAsia="宋体" w:cs="宋体"/>
                <w:kern w:val="0"/>
                <w:sz w:val="24"/>
                <w:szCs w:val="24"/>
              </w:rPr>
            </w:pPr>
          </w:p>
        </w:tc>
        <w:tc>
          <w:tcPr>
            <w:tcW w:w="0" w:type="auto"/>
            <w:vMerge w:val="continue"/>
            <w:tcBorders>
              <w:top w:val="nil"/>
              <w:left w:val="nil"/>
              <w:bottom w:val="nil"/>
              <w:right w:val="single" w:color="auto" w:sz="6" w:space="0"/>
            </w:tcBorders>
            <w:shd w:val="clear" w:color="auto" w:fill="auto"/>
            <w:vAlign w:val="center"/>
          </w:tcPr>
          <w:p w14:paraId="682F0BC2">
            <w:pPr>
              <w:widowControl/>
              <w:jc w:val="left"/>
              <w:rPr>
                <w:rFonts w:ascii="宋体" w:hAnsi="宋体" w:eastAsia="宋体" w:cs="宋体"/>
                <w:kern w:val="0"/>
                <w:sz w:val="24"/>
                <w:szCs w:val="24"/>
              </w:rPr>
            </w:pPr>
          </w:p>
        </w:tc>
        <w:tc>
          <w:tcPr>
            <w:tcW w:w="0" w:type="auto"/>
            <w:vMerge w:val="continue"/>
            <w:tcBorders>
              <w:top w:val="nil"/>
              <w:left w:val="nil"/>
              <w:bottom w:val="nil"/>
              <w:right w:val="single" w:color="auto" w:sz="6" w:space="0"/>
            </w:tcBorders>
            <w:shd w:val="clear" w:color="auto" w:fill="auto"/>
            <w:vAlign w:val="center"/>
          </w:tcPr>
          <w:p w14:paraId="60804AB6">
            <w:pPr>
              <w:widowControl/>
              <w:jc w:val="left"/>
              <w:rPr>
                <w:rFonts w:ascii="宋体" w:hAnsi="宋体" w:eastAsia="宋体" w:cs="宋体"/>
                <w:kern w:val="0"/>
                <w:sz w:val="24"/>
                <w:szCs w:val="24"/>
              </w:rPr>
            </w:pPr>
          </w:p>
        </w:tc>
      </w:tr>
      <w:tr w14:paraId="3385A9D3">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5" w:hRule="atLeast"/>
        </w:trPr>
        <w:tc>
          <w:tcPr>
            <w:tcW w:w="0" w:type="auto"/>
            <w:vMerge w:val="continue"/>
            <w:tcBorders>
              <w:top w:val="nil"/>
              <w:left w:val="single" w:color="auto" w:sz="6" w:space="0"/>
              <w:bottom w:val="single" w:color="000000" w:sz="6" w:space="0"/>
              <w:right w:val="single" w:color="auto" w:sz="6" w:space="0"/>
            </w:tcBorders>
            <w:shd w:val="clear" w:color="auto" w:fill="auto"/>
            <w:vAlign w:val="center"/>
          </w:tcPr>
          <w:p w14:paraId="45BB910F">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14:paraId="4288235A">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61487CD">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6、配置≥4个1GE电口，4个10GE光口，满配多模光模块；</w:t>
            </w:r>
          </w:p>
        </w:tc>
        <w:tc>
          <w:tcPr>
            <w:tcW w:w="0" w:type="auto"/>
            <w:vMerge w:val="continue"/>
            <w:tcBorders>
              <w:top w:val="nil"/>
              <w:left w:val="nil"/>
              <w:bottom w:val="nil"/>
              <w:right w:val="single" w:color="auto" w:sz="6" w:space="0"/>
            </w:tcBorders>
            <w:shd w:val="clear" w:color="auto" w:fill="auto"/>
            <w:vAlign w:val="center"/>
          </w:tcPr>
          <w:p w14:paraId="0F7AC8C3">
            <w:pPr>
              <w:widowControl/>
              <w:jc w:val="left"/>
              <w:rPr>
                <w:rFonts w:ascii="宋体" w:hAnsi="宋体" w:eastAsia="宋体" w:cs="宋体"/>
                <w:kern w:val="0"/>
                <w:sz w:val="24"/>
                <w:szCs w:val="24"/>
              </w:rPr>
            </w:pPr>
          </w:p>
        </w:tc>
        <w:tc>
          <w:tcPr>
            <w:tcW w:w="0" w:type="auto"/>
            <w:vMerge w:val="continue"/>
            <w:tcBorders>
              <w:top w:val="nil"/>
              <w:left w:val="nil"/>
              <w:bottom w:val="nil"/>
              <w:right w:val="single" w:color="auto" w:sz="6" w:space="0"/>
            </w:tcBorders>
            <w:shd w:val="clear" w:color="auto" w:fill="auto"/>
            <w:vAlign w:val="center"/>
          </w:tcPr>
          <w:p w14:paraId="7142E00F">
            <w:pPr>
              <w:widowControl/>
              <w:jc w:val="left"/>
              <w:rPr>
                <w:rFonts w:ascii="宋体" w:hAnsi="宋体" w:eastAsia="宋体" w:cs="宋体"/>
                <w:kern w:val="0"/>
                <w:sz w:val="24"/>
                <w:szCs w:val="24"/>
              </w:rPr>
            </w:pPr>
          </w:p>
        </w:tc>
        <w:tc>
          <w:tcPr>
            <w:tcW w:w="0" w:type="auto"/>
            <w:vMerge w:val="continue"/>
            <w:tcBorders>
              <w:top w:val="nil"/>
              <w:left w:val="nil"/>
              <w:bottom w:val="nil"/>
              <w:right w:val="single" w:color="auto" w:sz="6" w:space="0"/>
            </w:tcBorders>
            <w:shd w:val="clear" w:color="auto" w:fill="auto"/>
            <w:vAlign w:val="center"/>
          </w:tcPr>
          <w:p w14:paraId="2449575A">
            <w:pPr>
              <w:widowControl/>
              <w:jc w:val="left"/>
              <w:rPr>
                <w:rFonts w:ascii="宋体" w:hAnsi="宋体" w:eastAsia="宋体" w:cs="宋体"/>
                <w:kern w:val="0"/>
                <w:sz w:val="24"/>
                <w:szCs w:val="24"/>
              </w:rPr>
            </w:pPr>
          </w:p>
        </w:tc>
        <w:tc>
          <w:tcPr>
            <w:tcW w:w="0" w:type="auto"/>
            <w:vMerge w:val="continue"/>
            <w:tcBorders>
              <w:top w:val="nil"/>
              <w:left w:val="nil"/>
              <w:bottom w:val="nil"/>
              <w:right w:val="single" w:color="auto" w:sz="6" w:space="0"/>
            </w:tcBorders>
            <w:shd w:val="clear" w:color="auto" w:fill="auto"/>
            <w:vAlign w:val="center"/>
          </w:tcPr>
          <w:p w14:paraId="7E661E82">
            <w:pPr>
              <w:widowControl/>
              <w:jc w:val="left"/>
              <w:rPr>
                <w:rFonts w:ascii="宋体" w:hAnsi="宋体" w:eastAsia="宋体" w:cs="宋体"/>
                <w:kern w:val="0"/>
                <w:sz w:val="24"/>
                <w:szCs w:val="24"/>
              </w:rPr>
            </w:pPr>
          </w:p>
        </w:tc>
      </w:tr>
      <w:tr w14:paraId="5B6070FF">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5" w:hRule="atLeast"/>
        </w:trPr>
        <w:tc>
          <w:tcPr>
            <w:tcW w:w="0" w:type="auto"/>
            <w:vMerge w:val="continue"/>
            <w:tcBorders>
              <w:top w:val="nil"/>
              <w:left w:val="single" w:color="auto" w:sz="6" w:space="0"/>
              <w:bottom w:val="single" w:color="000000" w:sz="6" w:space="0"/>
              <w:right w:val="single" w:color="auto" w:sz="6" w:space="0"/>
            </w:tcBorders>
            <w:shd w:val="clear" w:color="auto" w:fill="auto"/>
            <w:vAlign w:val="center"/>
          </w:tcPr>
          <w:p w14:paraId="6FE082C1">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14:paraId="1A998F8B">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BCF2B50">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7、配置2个热拔插冗余交流电源，满配风扇模块</w:t>
            </w:r>
          </w:p>
        </w:tc>
        <w:tc>
          <w:tcPr>
            <w:tcW w:w="0" w:type="auto"/>
            <w:vMerge w:val="continue"/>
            <w:tcBorders>
              <w:top w:val="nil"/>
              <w:left w:val="nil"/>
              <w:bottom w:val="nil"/>
              <w:right w:val="single" w:color="auto" w:sz="6" w:space="0"/>
            </w:tcBorders>
            <w:shd w:val="clear" w:color="auto" w:fill="auto"/>
            <w:vAlign w:val="center"/>
          </w:tcPr>
          <w:p w14:paraId="22109BAA">
            <w:pPr>
              <w:widowControl/>
              <w:jc w:val="left"/>
              <w:rPr>
                <w:rFonts w:ascii="宋体" w:hAnsi="宋体" w:eastAsia="宋体" w:cs="宋体"/>
                <w:kern w:val="0"/>
                <w:sz w:val="24"/>
                <w:szCs w:val="24"/>
              </w:rPr>
            </w:pPr>
          </w:p>
        </w:tc>
        <w:tc>
          <w:tcPr>
            <w:tcW w:w="0" w:type="auto"/>
            <w:vMerge w:val="continue"/>
            <w:tcBorders>
              <w:top w:val="nil"/>
              <w:left w:val="nil"/>
              <w:bottom w:val="nil"/>
              <w:right w:val="single" w:color="auto" w:sz="6" w:space="0"/>
            </w:tcBorders>
            <w:shd w:val="clear" w:color="auto" w:fill="auto"/>
            <w:vAlign w:val="center"/>
          </w:tcPr>
          <w:p w14:paraId="7A946BA4">
            <w:pPr>
              <w:widowControl/>
              <w:jc w:val="left"/>
              <w:rPr>
                <w:rFonts w:ascii="宋体" w:hAnsi="宋体" w:eastAsia="宋体" w:cs="宋体"/>
                <w:kern w:val="0"/>
                <w:sz w:val="24"/>
                <w:szCs w:val="24"/>
              </w:rPr>
            </w:pPr>
          </w:p>
        </w:tc>
        <w:tc>
          <w:tcPr>
            <w:tcW w:w="0" w:type="auto"/>
            <w:vMerge w:val="continue"/>
            <w:tcBorders>
              <w:top w:val="nil"/>
              <w:left w:val="nil"/>
              <w:bottom w:val="nil"/>
              <w:right w:val="single" w:color="auto" w:sz="6" w:space="0"/>
            </w:tcBorders>
            <w:shd w:val="clear" w:color="auto" w:fill="auto"/>
            <w:vAlign w:val="center"/>
          </w:tcPr>
          <w:p w14:paraId="3C68144B">
            <w:pPr>
              <w:widowControl/>
              <w:jc w:val="left"/>
              <w:rPr>
                <w:rFonts w:ascii="宋体" w:hAnsi="宋体" w:eastAsia="宋体" w:cs="宋体"/>
                <w:kern w:val="0"/>
                <w:sz w:val="24"/>
                <w:szCs w:val="24"/>
              </w:rPr>
            </w:pPr>
          </w:p>
        </w:tc>
        <w:tc>
          <w:tcPr>
            <w:tcW w:w="0" w:type="auto"/>
            <w:vMerge w:val="continue"/>
            <w:tcBorders>
              <w:top w:val="nil"/>
              <w:left w:val="nil"/>
              <w:bottom w:val="nil"/>
              <w:right w:val="single" w:color="auto" w:sz="6" w:space="0"/>
            </w:tcBorders>
            <w:shd w:val="clear" w:color="auto" w:fill="auto"/>
            <w:vAlign w:val="center"/>
          </w:tcPr>
          <w:p w14:paraId="604D54D9">
            <w:pPr>
              <w:widowControl/>
              <w:jc w:val="left"/>
              <w:rPr>
                <w:rFonts w:ascii="宋体" w:hAnsi="宋体" w:eastAsia="宋体" w:cs="宋体"/>
                <w:kern w:val="0"/>
                <w:sz w:val="24"/>
                <w:szCs w:val="24"/>
              </w:rPr>
            </w:pPr>
          </w:p>
        </w:tc>
      </w:tr>
      <w:tr w14:paraId="0F7F8955">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5" w:hRule="atLeast"/>
        </w:trPr>
        <w:tc>
          <w:tcPr>
            <w:tcW w:w="0" w:type="auto"/>
            <w:vMerge w:val="restart"/>
            <w:tcBorders>
              <w:top w:val="nil"/>
              <w:left w:val="single" w:color="auto" w:sz="6" w:space="0"/>
              <w:bottom w:val="single" w:color="000000" w:sz="6" w:space="0"/>
              <w:right w:val="single" w:color="auto" w:sz="6" w:space="0"/>
            </w:tcBorders>
            <w:shd w:val="clear" w:color="auto" w:fill="FFFFFF"/>
            <w:tcMar>
              <w:top w:w="0" w:type="dxa"/>
              <w:left w:w="105" w:type="dxa"/>
              <w:bottom w:w="0" w:type="dxa"/>
              <w:right w:w="105" w:type="dxa"/>
            </w:tcMar>
            <w:vAlign w:val="center"/>
          </w:tcPr>
          <w:p w14:paraId="36005833">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3</w:t>
            </w:r>
          </w:p>
        </w:tc>
        <w:tc>
          <w:tcPr>
            <w:tcW w:w="0" w:type="auto"/>
            <w:vMerge w:val="restart"/>
            <w:tcBorders>
              <w:top w:val="nil"/>
              <w:left w:val="nil"/>
              <w:bottom w:val="single" w:color="000000" w:sz="6" w:space="0"/>
              <w:right w:val="single" w:color="auto" w:sz="6" w:space="0"/>
            </w:tcBorders>
            <w:shd w:val="clear" w:color="auto" w:fill="FFFFFF"/>
            <w:tcMar>
              <w:top w:w="0" w:type="dxa"/>
              <w:left w:w="105" w:type="dxa"/>
              <w:bottom w:w="0" w:type="dxa"/>
              <w:right w:w="105" w:type="dxa"/>
            </w:tcMar>
            <w:vAlign w:val="center"/>
          </w:tcPr>
          <w:p w14:paraId="5C64337E">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数据库服务器计算节点B（核心设备）</w:t>
            </w: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D14E48B">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1、规格：2U 2路X86服务器；国产，非OEM产品；</w:t>
            </w:r>
          </w:p>
        </w:tc>
        <w:tc>
          <w:tcPr>
            <w:tcW w:w="0" w:type="auto"/>
            <w:vMerge w:val="restart"/>
            <w:tcBorders>
              <w:top w:val="single" w:color="auto" w:sz="6" w:space="0"/>
              <w:left w:val="nil"/>
              <w:bottom w:val="single" w:color="000000" w:sz="6" w:space="0"/>
              <w:right w:val="single" w:color="auto" w:sz="6" w:space="0"/>
            </w:tcBorders>
            <w:shd w:val="clear" w:color="auto" w:fill="FFFFFF"/>
            <w:tcMar>
              <w:top w:w="0" w:type="dxa"/>
              <w:left w:w="105" w:type="dxa"/>
              <w:bottom w:w="0" w:type="dxa"/>
              <w:right w:w="105" w:type="dxa"/>
            </w:tcMar>
            <w:vAlign w:val="center"/>
          </w:tcPr>
          <w:p w14:paraId="36A2A7B3">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台</w:t>
            </w:r>
          </w:p>
        </w:tc>
        <w:tc>
          <w:tcPr>
            <w:tcW w:w="0" w:type="auto"/>
            <w:vMerge w:val="restart"/>
            <w:tcBorders>
              <w:top w:val="single" w:color="auto" w:sz="6" w:space="0"/>
              <w:left w:val="nil"/>
              <w:bottom w:val="single" w:color="000000" w:sz="6" w:space="0"/>
              <w:right w:val="single" w:color="auto" w:sz="6" w:space="0"/>
            </w:tcBorders>
            <w:shd w:val="clear" w:color="auto" w:fill="FFFFFF"/>
            <w:tcMar>
              <w:top w:w="0" w:type="dxa"/>
              <w:left w:w="105" w:type="dxa"/>
              <w:bottom w:w="0" w:type="dxa"/>
              <w:right w:w="105" w:type="dxa"/>
            </w:tcMar>
            <w:vAlign w:val="center"/>
          </w:tcPr>
          <w:p w14:paraId="3A96BDEB">
            <w:pPr>
              <w:widowControl/>
              <w:jc w:val="left"/>
              <w:rPr>
                <w:rFonts w:ascii="宋体" w:hAnsi="宋体" w:eastAsia="宋体" w:cs="宋体"/>
                <w:kern w:val="0"/>
                <w:sz w:val="24"/>
                <w:szCs w:val="24"/>
              </w:rPr>
            </w:pPr>
          </w:p>
        </w:tc>
        <w:tc>
          <w:tcPr>
            <w:tcW w:w="0" w:type="auto"/>
            <w:vMerge w:val="restart"/>
            <w:tcBorders>
              <w:top w:val="single" w:color="auto" w:sz="6" w:space="0"/>
              <w:left w:val="nil"/>
              <w:bottom w:val="single" w:color="000000" w:sz="6" w:space="0"/>
              <w:right w:val="single" w:color="auto" w:sz="6" w:space="0"/>
            </w:tcBorders>
            <w:shd w:val="clear" w:color="auto" w:fill="FFFFFF"/>
            <w:tcMar>
              <w:top w:w="0" w:type="dxa"/>
              <w:left w:w="105" w:type="dxa"/>
              <w:bottom w:w="0" w:type="dxa"/>
              <w:right w:w="105" w:type="dxa"/>
            </w:tcMar>
            <w:vAlign w:val="center"/>
          </w:tcPr>
          <w:p w14:paraId="266786BA">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6</w:t>
            </w:r>
          </w:p>
        </w:tc>
        <w:tc>
          <w:tcPr>
            <w:tcW w:w="0" w:type="auto"/>
            <w:vMerge w:val="restart"/>
            <w:tcBorders>
              <w:top w:val="single" w:color="auto" w:sz="6" w:space="0"/>
              <w:left w:val="nil"/>
              <w:bottom w:val="single" w:color="000000" w:sz="6" w:space="0"/>
              <w:right w:val="single" w:color="auto" w:sz="6" w:space="0"/>
            </w:tcBorders>
            <w:shd w:val="clear" w:color="auto" w:fill="FFFFFF"/>
            <w:tcMar>
              <w:top w:w="0" w:type="dxa"/>
              <w:left w:w="105" w:type="dxa"/>
              <w:bottom w:w="0" w:type="dxa"/>
              <w:right w:w="105" w:type="dxa"/>
            </w:tcMar>
            <w:vAlign w:val="center"/>
          </w:tcPr>
          <w:p w14:paraId="2D2A468F">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6</w:t>
            </w:r>
          </w:p>
        </w:tc>
      </w:tr>
      <w:tr w14:paraId="0169EDAC">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5" w:hRule="atLeast"/>
        </w:trPr>
        <w:tc>
          <w:tcPr>
            <w:tcW w:w="0" w:type="auto"/>
            <w:vMerge w:val="continue"/>
            <w:tcBorders>
              <w:top w:val="nil"/>
              <w:left w:val="single" w:color="auto" w:sz="6" w:space="0"/>
              <w:bottom w:val="single" w:color="000000" w:sz="6" w:space="0"/>
              <w:right w:val="single" w:color="auto" w:sz="6" w:space="0"/>
            </w:tcBorders>
            <w:shd w:val="clear" w:color="auto" w:fill="auto"/>
            <w:vAlign w:val="center"/>
          </w:tcPr>
          <w:p w14:paraId="66EF3CD6">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14:paraId="7F992394">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D3C261A">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2、处理器：物理处理器2颗，每颗≥2.1G/16核；</w:t>
            </w:r>
          </w:p>
        </w:tc>
        <w:tc>
          <w:tcPr>
            <w:tcW w:w="0" w:type="auto"/>
            <w:vMerge w:val="continue"/>
            <w:tcBorders>
              <w:top w:val="single" w:color="auto" w:sz="6" w:space="0"/>
              <w:left w:val="nil"/>
              <w:bottom w:val="single" w:color="000000" w:sz="6" w:space="0"/>
              <w:right w:val="single" w:color="auto" w:sz="6" w:space="0"/>
            </w:tcBorders>
            <w:shd w:val="clear" w:color="auto" w:fill="auto"/>
            <w:vAlign w:val="center"/>
          </w:tcPr>
          <w:p w14:paraId="199420AE">
            <w:pPr>
              <w:widowControl/>
              <w:jc w:val="left"/>
              <w:rPr>
                <w:rFonts w:ascii="宋体" w:hAnsi="宋体" w:eastAsia="宋体" w:cs="宋体"/>
                <w:kern w:val="0"/>
                <w:sz w:val="24"/>
                <w:szCs w:val="24"/>
              </w:rPr>
            </w:pPr>
          </w:p>
        </w:tc>
        <w:tc>
          <w:tcPr>
            <w:tcW w:w="0" w:type="auto"/>
            <w:vMerge w:val="continue"/>
            <w:tcBorders>
              <w:top w:val="single" w:color="auto" w:sz="6" w:space="0"/>
              <w:left w:val="nil"/>
              <w:bottom w:val="single" w:color="000000" w:sz="6" w:space="0"/>
              <w:right w:val="single" w:color="auto" w:sz="6" w:space="0"/>
            </w:tcBorders>
            <w:shd w:val="clear" w:color="auto" w:fill="auto"/>
            <w:vAlign w:val="center"/>
          </w:tcPr>
          <w:p w14:paraId="521913E5">
            <w:pPr>
              <w:widowControl/>
              <w:jc w:val="left"/>
              <w:rPr>
                <w:rFonts w:ascii="宋体" w:hAnsi="宋体" w:eastAsia="宋体" w:cs="宋体"/>
                <w:kern w:val="0"/>
                <w:sz w:val="24"/>
                <w:szCs w:val="24"/>
              </w:rPr>
            </w:pPr>
          </w:p>
        </w:tc>
        <w:tc>
          <w:tcPr>
            <w:tcW w:w="0" w:type="auto"/>
            <w:vMerge w:val="continue"/>
            <w:tcBorders>
              <w:top w:val="single" w:color="auto" w:sz="6" w:space="0"/>
              <w:left w:val="nil"/>
              <w:bottom w:val="single" w:color="000000" w:sz="6" w:space="0"/>
              <w:right w:val="single" w:color="auto" w:sz="6" w:space="0"/>
            </w:tcBorders>
            <w:shd w:val="clear" w:color="auto" w:fill="auto"/>
            <w:vAlign w:val="center"/>
          </w:tcPr>
          <w:p w14:paraId="0E1CDF6E">
            <w:pPr>
              <w:widowControl/>
              <w:jc w:val="left"/>
              <w:rPr>
                <w:rFonts w:ascii="宋体" w:hAnsi="宋体" w:eastAsia="宋体" w:cs="宋体"/>
                <w:kern w:val="0"/>
                <w:sz w:val="24"/>
                <w:szCs w:val="24"/>
              </w:rPr>
            </w:pPr>
          </w:p>
        </w:tc>
        <w:tc>
          <w:tcPr>
            <w:tcW w:w="0" w:type="auto"/>
            <w:vMerge w:val="continue"/>
            <w:tcBorders>
              <w:top w:val="single" w:color="auto" w:sz="6" w:space="0"/>
              <w:left w:val="nil"/>
              <w:bottom w:val="single" w:color="000000" w:sz="6" w:space="0"/>
              <w:right w:val="single" w:color="auto" w:sz="6" w:space="0"/>
            </w:tcBorders>
            <w:shd w:val="clear" w:color="auto" w:fill="auto"/>
            <w:vAlign w:val="center"/>
          </w:tcPr>
          <w:p w14:paraId="317C98C8">
            <w:pPr>
              <w:widowControl/>
              <w:jc w:val="left"/>
              <w:rPr>
                <w:rFonts w:ascii="宋体" w:hAnsi="宋体" w:eastAsia="宋体" w:cs="宋体"/>
                <w:kern w:val="0"/>
                <w:sz w:val="24"/>
                <w:szCs w:val="24"/>
              </w:rPr>
            </w:pPr>
          </w:p>
        </w:tc>
      </w:tr>
      <w:tr w14:paraId="0D0B4D25">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5" w:hRule="atLeast"/>
        </w:trPr>
        <w:tc>
          <w:tcPr>
            <w:tcW w:w="0" w:type="auto"/>
            <w:vMerge w:val="continue"/>
            <w:tcBorders>
              <w:top w:val="nil"/>
              <w:left w:val="single" w:color="auto" w:sz="6" w:space="0"/>
              <w:bottom w:val="single" w:color="000000" w:sz="6" w:space="0"/>
              <w:right w:val="single" w:color="auto" w:sz="6" w:space="0"/>
            </w:tcBorders>
            <w:shd w:val="clear" w:color="auto" w:fill="auto"/>
            <w:vAlign w:val="center"/>
          </w:tcPr>
          <w:p w14:paraId="58A2D1F8">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14:paraId="42B00D11">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79D363A">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3、配置≥640GB     DDR4内存；</w:t>
            </w:r>
          </w:p>
        </w:tc>
        <w:tc>
          <w:tcPr>
            <w:tcW w:w="0" w:type="auto"/>
            <w:vMerge w:val="continue"/>
            <w:tcBorders>
              <w:top w:val="single" w:color="auto" w:sz="6" w:space="0"/>
              <w:left w:val="nil"/>
              <w:bottom w:val="single" w:color="000000" w:sz="6" w:space="0"/>
              <w:right w:val="single" w:color="auto" w:sz="6" w:space="0"/>
            </w:tcBorders>
            <w:shd w:val="clear" w:color="auto" w:fill="auto"/>
            <w:vAlign w:val="center"/>
          </w:tcPr>
          <w:p w14:paraId="4BE7E2CB">
            <w:pPr>
              <w:widowControl/>
              <w:jc w:val="left"/>
              <w:rPr>
                <w:rFonts w:ascii="宋体" w:hAnsi="宋体" w:eastAsia="宋体" w:cs="宋体"/>
                <w:kern w:val="0"/>
                <w:sz w:val="24"/>
                <w:szCs w:val="24"/>
              </w:rPr>
            </w:pPr>
          </w:p>
        </w:tc>
        <w:tc>
          <w:tcPr>
            <w:tcW w:w="0" w:type="auto"/>
            <w:vMerge w:val="continue"/>
            <w:tcBorders>
              <w:top w:val="single" w:color="auto" w:sz="6" w:space="0"/>
              <w:left w:val="nil"/>
              <w:bottom w:val="single" w:color="000000" w:sz="6" w:space="0"/>
              <w:right w:val="single" w:color="auto" w:sz="6" w:space="0"/>
            </w:tcBorders>
            <w:shd w:val="clear" w:color="auto" w:fill="auto"/>
            <w:vAlign w:val="center"/>
          </w:tcPr>
          <w:p w14:paraId="5817B20D">
            <w:pPr>
              <w:widowControl/>
              <w:jc w:val="left"/>
              <w:rPr>
                <w:rFonts w:ascii="宋体" w:hAnsi="宋体" w:eastAsia="宋体" w:cs="宋体"/>
                <w:kern w:val="0"/>
                <w:sz w:val="24"/>
                <w:szCs w:val="24"/>
              </w:rPr>
            </w:pPr>
          </w:p>
        </w:tc>
        <w:tc>
          <w:tcPr>
            <w:tcW w:w="0" w:type="auto"/>
            <w:vMerge w:val="continue"/>
            <w:tcBorders>
              <w:top w:val="single" w:color="auto" w:sz="6" w:space="0"/>
              <w:left w:val="nil"/>
              <w:bottom w:val="single" w:color="000000" w:sz="6" w:space="0"/>
              <w:right w:val="single" w:color="auto" w:sz="6" w:space="0"/>
            </w:tcBorders>
            <w:shd w:val="clear" w:color="auto" w:fill="auto"/>
            <w:vAlign w:val="center"/>
          </w:tcPr>
          <w:p w14:paraId="1093789A">
            <w:pPr>
              <w:widowControl/>
              <w:jc w:val="left"/>
              <w:rPr>
                <w:rFonts w:ascii="宋体" w:hAnsi="宋体" w:eastAsia="宋体" w:cs="宋体"/>
                <w:kern w:val="0"/>
                <w:sz w:val="24"/>
                <w:szCs w:val="24"/>
              </w:rPr>
            </w:pPr>
          </w:p>
        </w:tc>
        <w:tc>
          <w:tcPr>
            <w:tcW w:w="0" w:type="auto"/>
            <w:vMerge w:val="continue"/>
            <w:tcBorders>
              <w:top w:val="single" w:color="auto" w:sz="6" w:space="0"/>
              <w:left w:val="nil"/>
              <w:bottom w:val="single" w:color="000000" w:sz="6" w:space="0"/>
              <w:right w:val="single" w:color="auto" w:sz="6" w:space="0"/>
            </w:tcBorders>
            <w:shd w:val="clear" w:color="auto" w:fill="auto"/>
            <w:vAlign w:val="center"/>
          </w:tcPr>
          <w:p w14:paraId="3D49AB3E">
            <w:pPr>
              <w:widowControl/>
              <w:jc w:val="left"/>
              <w:rPr>
                <w:rFonts w:ascii="宋体" w:hAnsi="宋体" w:eastAsia="宋体" w:cs="宋体"/>
                <w:kern w:val="0"/>
                <w:sz w:val="24"/>
                <w:szCs w:val="24"/>
              </w:rPr>
            </w:pPr>
          </w:p>
        </w:tc>
      </w:tr>
      <w:tr w14:paraId="31356AFD">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5" w:hRule="atLeast"/>
        </w:trPr>
        <w:tc>
          <w:tcPr>
            <w:tcW w:w="0" w:type="auto"/>
            <w:vMerge w:val="continue"/>
            <w:tcBorders>
              <w:top w:val="nil"/>
              <w:left w:val="single" w:color="auto" w:sz="6" w:space="0"/>
              <w:bottom w:val="single" w:color="000000" w:sz="6" w:space="0"/>
              <w:right w:val="single" w:color="auto" w:sz="6" w:space="0"/>
            </w:tcBorders>
            <w:shd w:val="clear" w:color="auto" w:fill="auto"/>
            <w:vAlign w:val="center"/>
          </w:tcPr>
          <w:p w14:paraId="2D70DF79">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14:paraId="67AEBA52">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A3CED66">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4、配置1张2GB缓存独立RAID卡，配置超级电容，支持RAID0/1/10/5/6/50等级别；</w:t>
            </w:r>
          </w:p>
        </w:tc>
        <w:tc>
          <w:tcPr>
            <w:tcW w:w="0" w:type="auto"/>
            <w:vMerge w:val="continue"/>
            <w:tcBorders>
              <w:top w:val="single" w:color="auto" w:sz="6" w:space="0"/>
              <w:left w:val="nil"/>
              <w:bottom w:val="single" w:color="000000" w:sz="6" w:space="0"/>
              <w:right w:val="single" w:color="auto" w:sz="6" w:space="0"/>
            </w:tcBorders>
            <w:shd w:val="clear" w:color="auto" w:fill="auto"/>
            <w:vAlign w:val="center"/>
          </w:tcPr>
          <w:p w14:paraId="0C2A2018">
            <w:pPr>
              <w:widowControl/>
              <w:jc w:val="left"/>
              <w:rPr>
                <w:rFonts w:ascii="宋体" w:hAnsi="宋体" w:eastAsia="宋体" w:cs="宋体"/>
                <w:kern w:val="0"/>
                <w:sz w:val="24"/>
                <w:szCs w:val="24"/>
              </w:rPr>
            </w:pPr>
          </w:p>
        </w:tc>
        <w:tc>
          <w:tcPr>
            <w:tcW w:w="0" w:type="auto"/>
            <w:vMerge w:val="continue"/>
            <w:tcBorders>
              <w:top w:val="single" w:color="auto" w:sz="6" w:space="0"/>
              <w:left w:val="nil"/>
              <w:bottom w:val="single" w:color="000000" w:sz="6" w:space="0"/>
              <w:right w:val="single" w:color="auto" w:sz="6" w:space="0"/>
            </w:tcBorders>
            <w:shd w:val="clear" w:color="auto" w:fill="auto"/>
            <w:vAlign w:val="center"/>
          </w:tcPr>
          <w:p w14:paraId="14EB3305">
            <w:pPr>
              <w:widowControl/>
              <w:jc w:val="left"/>
              <w:rPr>
                <w:rFonts w:ascii="宋体" w:hAnsi="宋体" w:eastAsia="宋体" w:cs="宋体"/>
                <w:kern w:val="0"/>
                <w:sz w:val="24"/>
                <w:szCs w:val="24"/>
              </w:rPr>
            </w:pPr>
          </w:p>
        </w:tc>
        <w:tc>
          <w:tcPr>
            <w:tcW w:w="0" w:type="auto"/>
            <w:vMerge w:val="continue"/>
            <w:tcBorders>
              <w:top w:val="single" w:color="auto" w:sz="6" w:space="0"/>
              <w:left w:val="nil"/>
              <w:bottom w:val="single" w:color="000000" w:sz="6" w:space="0"/>
              <w:right w:val="single" w:color="auto" w:sz="6" w:space="0"/>
            </w:tcBorders>
            <w:shd w:val="clear" w:color="auto" w:fill="auto"/>
            <w:vAlign w:val="center"/>
          </w:tcPr>
          <w:p w14:paraId="4B057D41">
            <w:pPr>
              <w:widowControl/>
              <w:jc w:val="left"/>
              <w:rPr>
                <w:rFonts w:ascii="宋体" w:hAnsi="宋体" w:eastAsia="宋体" w:cs="宋体"/>
                <w:kern w:val="0"/>
                <w:sz w:val="24"/>
                <w:szCs w:val="24"/>
              </w:rPr>
            </w:pPr>
          </w:p>
        </w:tc>
        <w:tc>
          <w:tcPr>
            <w:tcW w:w="0" w:type="auto"/>
            <w:vMerge w:val="continue"/>
            <w:tcBorders>
              <w:top w:val="single" w:color="auto" w:sz="6" w:space="0"/>
              <w:left w:val="nil"/>
              <w:bottom w:val="single" w:color="000000" w:sz="6" w:space="0"/>
              <w:right w:val="single" w:color="auto" w:sz="6" w:space="0"/>
            </w:tcBorders>
            <w:shd w:val="clear" w:color="auto" w:fill="auto"/>
            <w:vAlign w:val="center"/>
          </w:tcPr>
          <w:p w14:paraId="066BFCDD">
            <w:pPr>
              <w:widowControl/>
              <w:jc w:val="left"/>
              <w:rPr>
                <w:rFonts w:ascii="宋体" w:hAnsi="宋体" w:eastAsia="宋体" w:cs="宋体"/>
                <w:kern w:val="0"/>
                <w:sz w:val="24"/>
                <w:szCs w:val="24"/>
              </w:rPr>
            </w:pPr>
          </w:p>
        </w:tc>
      </w:tr>
      <w:tr w14:paraId="6D8FF560">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5" w:hRule="atLeast"/>
        </w:trPr>
        <w:tc>
          <w:tcPr>
            <w:tcW w:w="0" w:type="auto"/>
            <w:vMerge w:val="continue"/>
            <w:tcBorders>
              <w:top w:val="nil"/>
              <w:left w:val="single" w:color="auto" w:sz="6" w:space="0"/>
              <w:bottom w:val="single" w:color="000000" w:sz="6" w:space="0"/>
              <w:right w:val="single" w:color="auto" w:sz="6" w:space="0"/>
            </w:tcBorders>
            <w:shd w:val="clear" w:color="auto" w:fill="auto"/>
            <w:vAlign w:val="center"/>
          </w:tcPr>
          <w:p w14:paraId="72B05261">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14:paraId="3E894D35">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08FCB02">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5、配置≥2*960GB     SSD硬盘；</w:t>
            </w:r>
          </w:p>
        </w:tc>
        <w:tc>
          <w:tcPr>
            <w:tcW w:w="0" w:type="auto"/>
            <w:vMerge w:val="continue"/>
            <w:tcBorders>
              <w:top w:val="single" w:color="auto" w:sz="6" w:space="0"/>
              <w:left w:val="nil"/>
              <w:bottom w:val="single" w:color="000000" w:sz="6" w:space="0"/>
              <w:right w:val="single" w:color="auto" w:sz="6" w:space="0"/>
            </w:tcBorders>
            <w:shd w:val="clear" w:color="auto" w:fill="auto"/>
            <w:vAlign w:val="center"/>
          </w:tcPr>
          <w:p w14:paraId="32DDC427">
            <w:pPr>
              <w:widowControl/>
              <w:jc w:val="left"/>
              <w:rPr>
                <w:rFonts w:ascii="宋体" w:hAnsi="宋体" w:eastAsia="宋体" w:cs="宋体"/>
                <w:kern w:val="0"/>
                <w:sz w:val="24"/>
                <w:szCs w:val="24"/>
              </w:rPr>
            </w:pPr>
          </w:p>
        </w:tc>
        <w:tc>
          <w:tcPr>
            <w:tcW w:w="0" w:type="auto"/>
            <w:vMerge w:val="continue"/>
            <w:tcBorders>
              <w:top w:val="single" w:color="auto" w:sz="6" w:space="0"/>
              <w:left w:val="nil"/>
              <w:bottom w:val="single" w:color="000000" w:sz="6" w:space="0"/>
              <w:right w:val="single" w:color="auto" w:sz="6" w:space="0"/>
            </w:tcBorders>
            <w:shd w:val="clear" w:color="auto" w:fill="auto"/>
            <w:vAlign w:val="center"/>
          </w:tcPr>
          <w:p w14:paraId="3DAA50E0">
            <w:pPr>
              <w:widowControl/>
              <w:jc w:val="left"/>
              <w:rPr>
                <w:rFonts w:ascii="宋体" w:hAnsi="宋体" w:eastAsia="宋体" w:cs="宋体"/>
                <w:kern w:val="0"/>
                <w:sz w:val="24"/>
                <w:szCs w:val="24"/>
              </w:rPr>
            </w:pPr>
          </w:p>
        </w:tc>
        <w:tc>
          <w:tcPr>
            <w:tcW w:w="0" w:type="auto"/>
            <w:vMerge w:val="continue"/>
            <w:tcBorders>
              <w:top w:val="single" w:color="auto" w:sz="6" w:space="0"/>
              <w:left w:val="nil"/>
              <w:bottom w:val="single" w:color="000000" w:sz="6" w:space="0"/>
              <w:right w:val="single" w:color="auto" w:sz="6" w:space="0"/>
            </w:tcBorders>
            <w:shd w:val="clear" w:color="auto" w:fill="auto"/>
            <w:vAlign w:val="center"/>
          </w:tcPr>
          <w:p w14:paraId="11D603BB">
            <w:pPr>
              <w:widowControl/>
              <w:jc w:val="left"/>
              <w:rPr>
                <w:rFonts w:ascii="宋体" w:hAnsi="宋体" w:eastAsia="宋体" w:cs="宋体"/>
                <w:kern w:val="0"/>
                <w:sz w:val="24"/>
                <w:szCs w:val="24"/>
              </w:rPr>
            </w:pPr>
          </w:p>
        </w:tc>
        <w:tc>
          <w:tcPr>
            <w:tcW w:w="0" w:type="auto"/>
            <w:vMerge w:val="continue"/>
            <w:tcBorders>
              <w:top w:val="single" w:color="auto" w:sz="6" w:space="0"/>
              <w:left w:val="nil"/>
              <w:bottom w:val="single" w:color="000000" w:sz="6" w:space="0"/>
              <w:right w:val="single" w:color="auto" w:sz="6" w:space="0"/>
            </w:tcBorders>
            <w:shd w:val="clear" w:color="auto" w:fill="auto"/>
            <w:vAlign w:val="center"/>
          </w:tcPr>
          <w:p w14:paraId="3418FB8F">
            <w:pPr>
              <w:widowControl/>
              <w:jc w:val="left"/>
              <w:rPr>
                <w:rFonts w:ascii="宋体" w:hAnsi="宋体" w:eastAsia="宋体" w:cs="宋体"/>
                <w:kern w:val="0"/>
                <w:sz w:val="24"/>
                <w:szCs w:val="24"/>
              </w:rPr>
            </w:pPr>
          </w:p>
        </w:tc>
      </w:tr>
      <w:tr w14:paraId="0D705E05">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5" w:hRule="atLeast"/>
        </w:trPr>
        <w:tc>
          <w:tcPr>
            <w:tcW w:w="0" w:type="auto"/>
            <w:vMerge w:val="continue"/>
            <w:tcBorders>
              <w:top w:val="nil"/>
              <w:left w:val="single" w:color="auto" w:sz="6" w:space="0"/>
              <w:bottom w:val="single" w:color="000000" w:sz="6" w:space="0"/>
              <w:right w:val="single" w:color="auto" w:sz="6" w:space="0"/>
            </w:tcBorders>
            <w:shd w:val="clear" w:color="auto" w:fill="auto"/>
            <w:vAlign w:val="center"/>
          </w:tcPr>
          <w:p w14:paraId="519A862D">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14:paraId="2374DE85">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295746C">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6、配置≥4个1GE电口，4个10GE光口，满配多模光模块；</w:t>
            </w:r>
          </w:p>
        </w:tc>
        <w:tc>
          <w:tcPr>
            <w:tcW w:w="0" w:type="auto"/>
            <w:vMerge w:val="continue"/>
            <w:tcBorders>
              <w:top w:val="single" w:color="auto" w:sz="6" w:space="0"/>
              <w:left w:val="nil"/>
              <w:bottom w:val="single" w:color="000000" w:sz="6" w:space="0"/>
              <w:right w:val="single" w:color="auto" w:sz="6" w:space="0"/>
            </w:tcBorders>
            <w:shd w:val="clear" w:color="auto" w:fill="auto"/>
            <w:vAlign w:val="center"/>
          </w:tcPr>
          <w:p w14:paraId="749DC76E">
            <w:pPr>
              <w:widowControl/>
              <w:jc w:val="left"/>
              <w:rPr>
                <w:rFonts w:ascii="宋体" w:hAnsi="宋体" w:eastAsia="宋体" w:cs="宋体"/>
                <w:kern w:val="0"/>
                <w:sz w:val="24"/>
                <w:szCs w:val="24"/>
              </w:rPr>
            </w:pPr>
          </w:p>
        </w:tc>
        <w:tc>
          <w:tcPr>
            <w:tcW w:w="0" w:type="auto"/>
            <w:vMerge w:val="continue"/>
            <w:tcBorders>
              <w:top w:val="single" w:color="auto" w:sz="6" w:space="0"/>
              <w:left w:val="nil"/>
              <w:bottom w:val="single" w:color="000000" w:sz="6" w:space="0"/>
              <w:right w:val="single" w:color="auto" w:sz="6" w:space="0"/>
            </w:tcBorders>
            <w:shd w:val="clear" w:color="auto" w:fill="auto"/>
            <w:vAlign w:val="center"/>
          </w:tcPr>
          <w:p w14:paraId="05508B04">
            <w:pPr>
              <w:widowControl/>
              <w:jc w:val="left"/>
              <w:rPr>
                <w:rFonts w:ascii="宋体" w:hAnsi="宋体" w:eastAsia="宋体" w:cs="宋体"/>
                <w:kern w:val="0"/>
                <w:sz w:val="24"/>
                <w:szCs w:val="24"/>
              </w:rPr>
            </w:pPr>
          </w:p>
        </w:tc>
        <w:tc>
          <w:tcPr>
            <w:tcW w:w="0" w:type="auto"/>
            <w:vMerge w:val="continue"/>
            <w:tcBorders>
              <w:top w:val="single" w:color="auto" w:sz="6" w:space="0"/>
              <w:left w:val="nil"/>
              <w:bottom w:val="single" w:color="000000" w:sz="6" w:space="0"/>
              <w:right w:val="single" w:color="auto" w:sz="6" w:space="0"/>
            </w:tcBorders>
            <w:shd w:val="clear" w:color="auto" w:fill="auto"/>
            <w:vAlign w:val="center"/>
          </w:tcPr>
          <w:p w14:paraId="68AEBDCF">
            <w:pPr>
              <w:widowControl/>
              <w:jc w:val="left"/>
              <w:rPr>
                <w:rFonts w:ascii="宋体" w:hAnsi="宋体" w:eastAsia="宋体" w:cs="宋体"/>
                <w:kern w:val="0"/>
                <w:sz w:val="24"/>
                <w:szCs w:val="24"/>
              </w:rPr>
            </w:pPr>
          </w:p>
        </w:tc>
        <w:tc>
          <w:tcPr>
            <w:tcW w:w="0" w:type="auto"/>
            <w:vMerge w:val="continue"/>
            <w:tcBorders>
              <w:top w:val="single" w:color="auto" w:sz="6" w:space="0"/>
              <w:left w:val="nil"/>
              <w:bottom w:val="single" w:color="000000" w:sz="6" w:space="0"/>
              <w:right w:val="single" w:color="auto" w:sz="6" w:space="0"/>
            </w:tcBorders>
            <w:shd w:val="clear" w:color="auto" w:fill="auto"/>
            <w:vAlign w:val="center"/>
          </w:tcPr>
          <w:p w14:paraId="270A4635">
            <w:pPr>
              <w:widowControl/>
              <w:jc w:val="left"/>
              <w:rPr>
                <w:rFonts w:ascii="宋体" w:hAnsi="宋体" w:eastAsia="宋体" w:cs="宋体"/>
                <w:kern w:val="0"/>
                <w:sz w:val="24"/>
                <w:szCs w:val="24"/>
              </w:rPr>
            </w:pPr>
          </w:p>
        </w:tc>
      </w:tr>
      <w:tr w14:paraId="0B6F2162">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5" w:hRule="atLeast"/>
        </w:trPr>
        <w:tc>
          <w:tcPr>
            <w:tcW w:w="0" w:type="auto"/>
            <w:vMerge w:val="continue"/>
            <w:tcBorders>
              <w:top w:val="nil"/>
              <w:left w:val="single" w:color="auto" w:sz="6" w:space="0"/>
              <w:bottom w:val="single" w:color="000000" w:sz="6" w:space="0"/>
              <w:right w:val="single" w:color="auto" w:sz="6" w:space="0"/>
            </w:tcBorders>
            <w:shd w:val="clear" w:color="auto" w:fill="auto"/>
            <w:vAlign w:val="center"/>
          </w:tcPr>
          <w:p w14:paraId="14728147">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14:paraId="25B02250">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6B6F79D">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7、配置2个热拔插冗余交流电源，满配风扇模块；</w:t>
            </w:r>
          </w:p>
        </w:tc>
        <w:tc>
          <w:tcPr>
            <w:tcW w:w="0" w:type="auto"/>
            <w:vMerge w:val="continue"/>
            <w:tcBorders>
              <w:top w:val="single" w:color="auto" w:sz="6" w:space="0"/>
              <w:left w:val="nil"/>
              <w:bottom w:val="single" w:color="000000" w:sz="6" w:space="0"/>
              <w:right w:val="single" w:color="auto" w:sz="6" w:space="0"/>
            </w:tcBorders>
            <w:shd w:val="clear" w:color="auto" w:fill="auto"/>
            <w:vAlign w:val="center"/>
          </w:tcPr>
          <w:p w14:paraId="774E8073">
            <w:pPr>
              <w:widowControl/>
              <w:jc w:val="left"/>
              <w:rPr>
                <w:rFonts w:ascii="宋体" w:hAnsi="宋体" w:eastAsia="宋体" w:cs="宋体"/>
                <w:kern w:val="0"/>
                <w:sz w:val="24"/>
                <w:szCs w:val="24"/>
              </w:rPr>
            </w:pPr>
          </w:p>
        </w:tc>
        <w:tc>
          <w:tcPr>
            <w:tcW w:w="0" w:type="auto"/>
            <w:vMerge w:val="continue"/>
            <w:tcBorders>
              <w:top w:val="single" w:color="auto" w:sz="6" w:space="0"/>
              <w:left w:val="nil"/>
              <w:bottom w:val="single" w:color="000000" w:sz="6" w:space="0"/>
              <w:right w:val="single" w:color="auto" w:sz="6" w:space="0"/>
            </w:tcBorders>
            <w:shd w:val="clear" w:color="auto" w:fill="auto"/>
            <w:vAlign w:val="center"/>
          </w:tcPr>
          <w:p w14:paraId="580ABB76">
            <w:pPr>
              <w:widowControl/>
              <w:jc w:val="left"/>
              <w:rPr>
                <w:rFonts w:ascii="宋体" w:hAnsi="宋体" w:eastAsia="宋体" w:cs="宋体"/>
                <w:kern w:val="0"/>
                <w:sz w:val="24"/>
                <w:szCs w:val="24"/>
              </w:rPr>
            </w:pPr>
          </w:p>
        </w:tc>
        <w:tc>
          <w:tcPr>
            <w:tcW w:w="0" w:type="auto"/>
            <w:vMerge w:val="continue"/>
            <w:tcBorders>
              <w:top w:val="single" w:color="auto" w:sz="6" w:space="0"/>
              <w:left w:val="nil"/>
              <w:bottom w:val="single" w:color="000000" w:sz="6" w:space="0"/>
              <w:right w:val="single" w:color="auto" w:sz="6" w:space="0"/>
            </w:tcBorders>
            <w:shd w:val="clear" w:color="auto" w:fill="auto"/>
            <w:vAlign w:val="center"/>
          </w:tcPr>
          <w:p w14:paraId="006543A1">
            <w:pPr>
              <w:widowControl/>
              <w:jc w:val="left"/>
              <w:rPr>
                <w:rFonts w:ascii="宋体" w:hAnsi="宋体" w:eastAsia="宋体" w:cs="宋体"/>
                <w:kern w:val="0"/>
                <w:sz w:val="24"/>
                <w:szCs w:val="24"/>
              </w:rPr>
            </w:pPr>
          </w:p>
        </w:tc>
        <w:tc>
          <w:tcPr>
            <w:tcW w:w="0" w:type="auto"/>
            <w:vMerge w:val="continue"/>
            <w:tcBorders>
              <w:top w:val="single" w:color="auto" w:sz="6" w:space="0"/>
              <w:left w:val="nil"/>
              <w:bottom w:val="single" w:color="000000" w:sz="6" w:space="0"/>
              <w:right w:val="single" w:color="auto" w:sz="6" w:space="0"/>
            </w:tcBorders>
            <w:shd w:val="clear" w:color="auto" w:fill="auto"/>
            <w:vAlign w:val="center"/>
          </w:tcPr>
          <w:p w14:paraId="27471452">
            <w:pPr>
              <w:widowControl/>
              <w:jc w:val="left"/>
              <w:rPr>
                <w:rFonts w:ascii="宋体" w:hAnsi="宋体" w:eastAsia="宋体" w:cs="宋体"/>
                <w:kern w:val="0"/>
                <w:sz w:val="24"/>
                <w:szCs w:val="24"/>
              </w:rPr>
            </w:pPr>
          </w:p>
        </w:tc>
      </w:tr>
      <w:tr w14:paraId="62080293">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5" w:hRule="atLeast"/>
        </w:trPr>
        <w:tc>
          <w:tcPr>
            <w:tcW w:w="0" w:type="auto"/>
            <w:vMerge w:val="restart"/>
            <w:tcBorders>
              <w:top w:val="nil"/>
              <w:left w:val="single" w:color="auto" w:sz="6" w:space="0"/>
              <w:bottom w:val="nil"/>
              <w:right w:val="single" w:color="auto" w:sz="6" w:space="0"/>
            </w:tcBorders>
            <w:shd w:val="clear" w:color="auto" w:fill="FFFFFF"/>
            <w:tcMar>
              <w:top w:w="0" w:type="dxa"/>
              <w:left w:w="105" w:type="dxa"/>
              <w:bottom w:w="0" w:type="dxa"/>
              <w:right w:w="105" w:type="dxa"/>
            </w:tcMar>
            <w:vAlign w:val="center"/>
          </w:tcPr>
          <w:p w14:paraId="45F77072">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4</w:t>
            </w:r>
          </w:p>
        </w:tc>
        <w:tc>
          <w:tcPr>
            <w:tcW w:w="0" w:type="auto"/>
            <w:vMerge w:val="restart"/>
            <w:tcBorders>
              <w:top w:val="nil"/>
              <w:left w:val="nil"/>
              <w:bottom w:val="single" w:color="000000" w:sz="6" w:space="0"/>
              <w:right w:val="single" w:color="auto" w:sz="6" w:space="0"/>
            </w:tcBorders>
            <w:shd w:val="clear" w:color="auto" w:fill="FFFFFF"/>
            <w:tcMar>
              <w:top w:w="0" w:type="dxa"/>
              <w:left w:w="105" w:type="dxa"/>
              <w:bottom w:w="0" w:type="dxa"/>
              <w:right w:w="105" w:type="dxa"/>
            </w:tcMar>
            <w:vAlign w:val="center"/>
          </w:tcPr>
          <w:p w14:paraId="749FC9AA">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数据库服务器高性能存储节点</w:t>
            </w: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7A73D97">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1、规格：2U 2路X86服务器，标配原厂导轨；国产，非OEM产品；</w:t>
            </w:r>
          </w:p>
        </w:tc>
        <w:tc>
          <w:tcPr>
            <w:tcW w:w="0" w:type="auto"/>
            <w:vMerge w:val="restart"/>
            <w:tcBorders>
              <w:top w:val="nil"/>
              <w:left w:val="nil"/>
              <w:bottom w:val="single" w:color="000000" w:sz="6" w:space="0"/>
              <w:right w:val="single" w:color="auto" w:sz="6" w:space="0"/>
            </w:tcBorders>
            <w:shd w:val="clear" w:color="auto" w:fill="FFFFFF"/>
            <w:tcMar>
              <w:top w:w="0" w:type="dxa"/>
              <w:left w:w="105" w:type="dxa"/>
              <w:bottom w:w="0" w:type="dxa"/>
              <w:right w:w="105" w:type="dxa"/>
            </w:tcMar>
            <w:vAlign w:val="center"/>
          </w:tcPr>
          <w:p w14:paraId="12A9E0A7">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台</w:t>
            </w:r>
          </w:p>
        </w:tc>
        <w:tc>
          <w:tcPr>
            <w:tcW w:w="0" w:type="auto"/>
            <w:vMerge w:val="restart"/>
            <w:tcBorders>
              <w:top w:val="nil"/>
              <w:left w:val="nil"/>
              <w:bottom w:val="nil"/>
              <w:right w:val="single" w:color="auto" w:sz="6" w:space="0"/>
            </w:tcBorders>
            <w:shd w:val="clear" w:color="auto" w:fill="FFFFFF"/>
            <w:tcMar>
              <w:top w:w="0" w:type="dxa"/>
              <w:left w:w="105" w:type="dxa"/>
              <w:bottom w:w="0" w:type="dxa"/>
              <w:right w:w="105" w:type="dxa"/>
            </w:tcMar>
            <w:vAlign w:val="center"/>
          </w:tcPr>
          <w:p w14:paraId="012B2D35">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32</w:t>
            </w:r>
          </w:p>
        </w:tc>
        <w:tc>
          <w:tcPr>
            <w:tcW w:w="0" w:type="auto"/>
            <w:vMerge w:val="restart"/>
            <w:tcBorders>
              <w:top w:val="nil"/>
              <w:left w:val="nil"/>
              <w:bottom w:val="nil"/>
              <w:right w:val="single" w:color="auto" w:sz="6" w:space="0"/>
            </w:tcBorders>
            <w:shd w:val="clear" w:color="auto" w:fill="FFFFFF"/>
            <w:tcMar>
              <w:top w:w="0" w:type="dxa"/>
              <w:left w:w="105" w:type="dxa"/>
              <w:bottom w:w="0" w:type="dxa"/>
              <w:right w:w="105" w:type="dxa"/>
            </w:tcMar>
            <w:vAlign w:val="center"/>
          </w:tcPr>
          <w:p w14:paraId="6A881F26">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22</w:t>
            </w:r>
          </w:p>
        </w:tc>
        <w:tc>
          <w:tcPr>
            <w:tcW w:w="0" w:type="auto"/>
            <w:vMerge w:val="restart"/>
            <w:tcBorders>
              <w:top w:val="nil"/>
              <w:left w:val="nil"/>
              <w:bottom w:val="nil"/>
              <w:right w:val="single" w:color="auto" w:sz="6" w:space="0"/>
            </w:tcBorders>
            <w:shd w:val="clear" w:color="auto" w:fill="FFFFFF"/>
            <w:tcMar>
              <w:top w:w="0" w:type="dxa"/>
              <w:left w:w="105" w:type="dxa"/>
              <w:bottom w:w="0" w:type="dxa"/>
              <w:right w:w="105" w:type="dxa"/>
            </w:tcMar>
            <w:vAlign w:val="center"/>
          </w:tcPr>
          <w:p w14:paraId="43481430">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54</w:t>
            </w:r>
          </w:p>
        </w:tc>
      </w:tr>
      <w:tr w14:paraId="2CAE99CC">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5" w:hRule="atLeast"/>
        </w:trPr>
        <w:tc>
          <w:tcPr>
            <w:tcW w:w="0" w:type="auto"/>
            <w:vMerge w:val="continue"/>
            <w:tcBorders>
              <w:top w:val="nil"/>
              <w:left w:val="single" w:color="auto" w:sz="6" w:space="0"/>
              <w:bottom w:val="nil"/>
              <w:right w:val="single" w:color="auto" w:sz="6" w:space="0"/>
            </w:tcBorders>
            <w:shd w:val="clear" w:color="auto" w:fill="auto"/>
            <w:vAlign w:val="center"/>
          </w:tcPr>
          <w:p w14:paraId="53ACB537">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14:paraId="7AEFE5D8">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E968714">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2、处理器：物理处理器2颗，每颗≥2.1G/16核；</w:t>
            </w:r>
          </w:p>
        </w:tc>
        <w:tc>
          <w:tcPr>
            <w:tcW w:w="0" w:type="auto"/>
            <w:vMerge w:val="continue"/>
            <w:tcBorders>
              <w:top w:val="nil"/>
              <w:left w:val="nil"/>
              <w:bottom w:val="single" w:color="000000" w:sz="6" w:space="0"/>
              <w:right w:val="single" w:color="auto" w:sz="6" w:space="0"/>
            </w:tcBorders>
            <w:shd w:val="clear" w:color="auto" w:fill="auto"/>
            <w:vAlign w:val="center"/>
          </w:tcPr>
          <w:p w14:paraId="6B803DD2">
            <w:pPr>
              <w:widowControl/>
              <w:jc w:val="left"/>
              <w:rPr>
                <w:rFonts w:ascii="宋体" w:hAnsi="宋体" w:eastAsia="宋体" w:cs="宋体"/>
                <w:kern w:val="0"/>
                <w:sz w:val="24"/>
                <w:szCs w:val="24"/>
              </w:rPr>
            </w:pPr>
          </w:p>
        </w:tc>
        <w:tc>
          <w:tcPr>
            <w:tcW w:w="0" w:type="auto"/>
            <w:vMerge w:val="continue"/>
            <w:tcBorders>
              <w:top w:val="nil"/>
              <w:left w:val="nil"/>
              <w:bottom w:val="nil"/>
              <w:right w:val="single" w:color="auto" w:sz="6" w:space="0"/>
            </w:tcBorders>
            <w:shd w:val="clear" w:color="auto" w:fill="auto"/>
            <w:vAlign w:val="center"/>
          </w:tcPr>
          <w:p w14:paraId="18EE4E48">
            <w:pPr>
              <w:widowControl/>
              <w:jc w:val="left"/>
              <w:rPr>
                <w:rFonts w:ascii="宋体" w:hAnsi="宋体" w:eastAsia="宋体" w:cs="宋体"/>
                <w:kern w:val="0"/>
                <w:sz w:val="24"/>
                <w:szCs w:val="24"/>
              </w:rPr>
            </w:pPr>
          </w:p>
        </w:tc>
        <w:tc>
          <w:tcPr>
            <w:tcW w:w="0" w:type="auto"/>
            <w:vMerge w:val="continue"/>
            <w:tcBorders>
              <w:top w:val="nil"/>
              <w:left w:val="nil"/>
              <w:bottom w:val="nil"/>
              <w:right w:val="single" w:color="auto" w:sz="6" w:space="0"/>
            </w:tcBorders>
            <w:shd w:val="clear" w:color="auto" w:fill="auto"/>
            <w:vAlign w:val="center"/>
          </w:tcPr>
          <w:p w14:paraId="4C4BA453">
            <w:pPr>
              <w:widowControl/>
              <w:jc w:val="left"/>
              <w:rPr>
                <w:rFonts w:ascii="宋体" w:hAnsi="宋体" w:eastAsia="宋体" w:cs="宋体"/>
                <w:kern w:val="0"/>
                <w:sz w:val="24"/>
                <w:szCs w:val="24"/>
              </w:rPr>
            </w:pPr>
          </w:p>
        </w:tc>
        <w:tc>
          <w:tcPr>
            <w:tcW w:w="0" w:type="auto"/>
            <w:vMerge w:val="continue"/>
            <w:tcBorders>
              <w:top w:val="nil"/>
              <w:left w:val="nil"/>
              <w:bottom w:val="nil"/>
              <w:right w:val="single" w:color="auto" w:sz="6" w:space="0"/>
            </w:tcBorders>
            <w:shd w:val="clear" w:color="auto" w:fill="auto"/>
            <w:vAlign w:val="center"/>
          </w:tcPr>
          <w:p w14:paraId="1D61BA8E">
            <w:pPr>
              <w:widowControl/>
              <w:jc w:val="left"/>
              <w:rPr>
                <w:rFonts w:ascii="宋体" w:hAnsi="宋体" w:eastAsia="宋体" w:cs="宋体"/>
                <w:kern w:val="0"/>
                <w:sz w:val="24"/>
                <w:szCs w:val="24"/>
              </w:rPr>
            </w:pPr>
          </w:p>
        </w:tc>
      </w:tr>
      <w:tr w14:paraId="04622332">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5" w:hRule="atLeast"/>
        </w:trPr>
        <w:tc>
          <w:tcPr>
            <w:tcW w:w="0" w:type="auto"/>
            <w:vMerge w:val="continue"/>
            <w:tcBorders>
              <w:top w:val="nil"/>
              <w:left w:val="single" w:color="auto" w:sz="6" w:space="0"/>
              <w:bottom w:val="nil"/>
              <w:right w:val="single" w:color="auto" w:sz="6" w:space="0"/>
            </w:tcBorders>
            <w:shd w:val="clear" w:color="auto" w:fill="auto"/>
            <w:vAlign w:val="center"/>
          </w:tcPr>
          <w:p w14:paraId="0DDF9C00">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14:paraId="2390DDA7">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3886F2F">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3、配置≥640GB 内存；</w:t>
            </w:r>
          </w:p>
        </w:tc>
        <w:tc>
          <w:tcPr>
            <w:tcW w:w="0" w:type="auto"/>
            <w:vMerge w:val="continue"/>
            <w:tcBorders>
              <w:top w:val="nil"/>
              <w:left w:val="nil"/>
              <w:bottom w:val="single" w:color="000000" w:sz="6" w:space="0"/>
              <w:right w:val="single" w:color="auto" w:sz="6" w:space="0"/>
            </w:tcBorders>
            <w:shd w:val="clear" w:color="auto" w:fill="auto"/>
            <w:vAlign w:val="center"/>
          </w:tcPr>
          <w:p w14:paraId="0012A91D">
            <w:pPr>
              <w:widowControl/>
              <w:jc w:val="left"/>
              <w:rPr>
                <w:rFonts w:ascii="宋体" w:hAnsi="宋体" w:eastAsia="宋体" w:cs="宋体"/>
                <w:kern w:val="0"/>
                <w:sz w:val="24"/>
                <w:szCs w:val="24"/>
              </w:rPr>
            </w:pPr>
          </w:p>
        </w:tc>
        <w:tc>
          <w:tcPr>
            <w:tcW w:w="0" w:type="auto"/>
            <w:vMerge w:val="continue"/>
            <w:tcBorders>
              <w:top w:val="nil"/>
              <w:left w:val="nil"/>
              <w:bottom w:val="nil"/>
              <w:right w:val="single" w:color="auto" w:sz="6" w:space="0"/>
            </w:tcBorders>
            <w:shd w:val="clear" w:color="auto" w:fill="auto"/>
            <w:vAlign w:val="center"/>
          </w:tcPr>
          <w:p w14:paraId="1AD2C500">
            <w:pPr>
              <w:widowControl/>
              <w:jc w:val="left"/>
              <w:rPr>
                <w:rFonts w:ascii="宋体" w:hAnsi="宋体" w:eastAsia="宋体" w:cs="宋体"/>
                <w:kern w:val="0"/>
                <w:sz w:val="24"/>
                <w:szCs w:val="24"/>
              </w:rPr>
            </w:pPr>
          </w:p>
        </w:tc>
        <w:tc>
          <w:tcPr>
            <w:tcW w:w="0" w:type="auto"/>
            <w:vMerge w:val="continue"/>
            <w:tcBorders>
              <w:top w:val="nil"/>
              <w:left w:val="nil"/>
              <w:bottom w:val="nil"/>
              <w:right w:val="single" w:color="auto" w:sz="6" w:space="0"/>
            </w:tcBorders>
            <w:shd w:val="clear" w:color="auto" w:fill="auto"/>
            <w:vAlign w:val="center"/>
          </w:tcPr>
          <w:p w14:paraId="2124BC30">
            <w:pPr>
              <w:widowControl/>
              <w:jc w:val="left"/>
              <w:rPr>
                <w:rFonts w:ascii="宋体" w:hAnsi="宋体" w:eastAsia="宋体" w:cs="宋体"/>
                <w:kern w:val="0"/>
                <w:sz w:val="24"/>
                <w:szCs w:val="24"/>
              </w:rPr>
            </w:pPr>
          </w:p>
        </w:tc>
        <w:tc>
          <w:tcPr>
            <w:tcW w:w="0" w:type="auto"/>
            <w:vMerge w:val="continue"/>
            <w:tcBorders>
              <w:top w:val="nil"/>
              <w:left w:val="nil"/>
              <w:bottom w:val="nil"/>
              <w:right w:val="single" w:color="auto" w:sz="6" w:space="0"/>
            </w:tcBorders>
            <w:shd w:val="clear" w:color="auto" w:fill="auto"/>
            <w:vAlign w:val="center"/>
          </w:tcPr>
          <w:p w14:paraId="27B6A03A">
            <w:pPr>
              <w:widowControl/>
              <w:jc w:val="left"/>
              <w:rPr>
                <w:rFonts w:ascii="宋体" w:hAnsi="宋体" w:eastAsia="宋体" w:cs="宋体"/>
                <w:kern w:val="0"/>
                <w:sz w:val="24"/>
                <w:szCs w:val="24"/>
              </w:rPr>
            </w:pPr>
          </w:p>
        </w:tc>
      </w:tr>
      <w:tr w14:paraId="7812F75B">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5" w:hRule="atLeast"/>
        </w:trPr>
        <w:tc>
          <w:tcPr>
            <w:tcW w:w="0" w:type="auto"/>
            <w:vMerge w:val="continue"/>
            <w:tcBorders>
              <w:top w:val="nil"/>
              <w:left w:val="single" w:color="auto" w:sz="6" w:space="0"/>
              <w:bottom w:val="nil"/>
              <w:right w:val="single" w:color="auto" w:sz="6" w:space="0"/>
            </w:tcBorders>
            <w:shd w:val="clear" w:color="auto" w:fill="auto"/>
            <w:vAlign w:val="center"/>
          </w:tcPr>
          <w:p w14:paraId="7873BFFE">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14:paraId="100DF9FC">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1464D54">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4、配置1张2GB缓存独立RAID卡，配置超级电容，支持RAID0/1/10/5/6/50等级别；</w:t>
            </w:r>
          </w:p>
        </w:tc>
        <w:tc>
          <w:tcPr>
            <w:tcW w:w="0" w:type="auto"/>
            <w:vMerge w:val="continue"/>
            <w:tcBorders>
              <w:top w:val="nil"/>
              <w:left w:val="nil"/>
              <w:bottom w:val="single" w:color="000000" w:sz="6" w:space="0"/>
              <w:right w:val="single" w:color="auto" w:sz="6" w:space="0"/>
            </w:tcBorders>
            <w:shd w:val="clear" w:color="auto" w:fill="auto"/>
            <w:vAlign w:val="center"/>
          </w:tcPr>
          <w:p w14:paraId="4045F332">
            <w:pPr>
              <w:widowControl/>
              <w:jc w:val="left"/>
              <w:rPr>
                <w:rFonts w:ascii="宋体" w:hAnsi="宋体" w:eastAsia="宋体" w:cs="宋体"/>
                <w:kern w:val="0"/>
                <w:sz w:val="24"/>
                <w:szCs w:val="24"/>
              </w:rPr>
            </w:pPr>
          </w:p>
        </w:tc>
        <w:tc>
          <w:tcPr>
            <w:tcW w:w="0" w:type="auto"/>
            <w:vMerge w:val="continue"/>
            <w:tcBorders>
              <w:top w:val="nil"/>
              <w:left w:val="nil"/>
              <w:bottom w:val="nil"/>
              <w:right w:val="single" w:color="auto" w:sz="6" w:space="0"/>
            </w:tcBorders>
            <w:shd w:val="clear" w:color="auto" w:fill="auto"/>
            <w:vAlign w:val="center"/>
          </w:tcPr>
          <w:p w14:paraId="1B8A1E80">
            <w:pPr>
              <w:widowControl/>
              <w:jc w:val="left"/>
              <w:rPr>
                <w:rFonts w:ascii="宋体" w:hAnsi="宋体" w:eastAsia="宋体" w:cs="宋体"/>
                <w:kern w:val="0"/>
                <w:sz w:val="24"/>
                <w:szCs w:val="24"/>
              </w:rPr>
            </w:pPr>
          </w:p>
        </w:tc>
        <w:tc>
          <w:tcPr>
            <w:tcW w:w="0" w:type="auto"/>
            <w:vMerge w:val="continue"/>
            <w:tcBorders>
              <w:top w:val="nil"/>
              <w:left w:val="nil"/>
              <w:bottom w:val="nil"/>
              <w:right w:val="single" w:color="auto" w:sz="6" w:space="0"/>
            </w:tcBorders>
            <w:shd w:val="clear" w:color="auto" w:fill="auto"/>
            <w:vAlign w:val="center"/>
          </w:tcPr>
          <w:p w14:paraId="61D4F188">
            <w:pPr>
              <w:widowControl/>
              <w:jc w:val="left"/>
              <w:rPr>
                <w:rFonts w:ascii="宋体" w:hAnsi="宋体" w:eastAsia="宋体" w:cs="宋体"/>
                <w:kern w:val="0"/>
                <w:sz w:val="24"/>
                <w:szCs w:val="24"/>
              </w:rPr>
            </w:pPr>
          </w:p>
        </w:tc>
        <w:tc>
          <w:tcPr>
            <w:tcW w:w="0" w:type="auto"/>
            <w:vMerge w:val="continue"/>
            <w:tcBorders>
              <w:top w:val="nil"/>
              <w:left w:val="nil"/>
              <w:bottom w:val="nil"/>
              <w:right w:val="single" w:color="auto" w:sz="6" w:space="0"/>
            </w:tcBorders>
            <w:shd w:val="clear" w:color="auto" w:fill="auto"/>
            <w:vAlign w:val="center"/>
          </w:tcPr>
          <w:p w14:paraId="09AEAEE7">
            <w:pPr>
              <w:widowControl/>
              <w:jc w:val="left"/>
              <w:rPr>
                <w:rFonts w:ascii="宋体" w:hAnsi="宋体" w:eastAsia="宋体" w:cs="宋体"/>
                <w:kern w:val="0"/>
                <w:sz w:val="24"/>
                <w:szCs w:val="24"/>
              </w:rPr>
            </w:pPr>
          </w:p>
        </w:tc>
      </w:tr>
      <w:tr w14:paraId="1FE9DCB3">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5" w:hRule="atLeast"/>
        </w:trPr>
        <w:tc>
          <w:tcPr>
            <w:tcW w:w="0" w:type="auto"/>
            <w:vMerge w:val="continue"/>
            <w:tcBorders>
              <w:top w:val="nil"/>
              <w:left w:val="single" w:color="auto" w:sz="6" w:space="0"/>
              <w:bottom w:val="nil"/>
              <w:right w:val="single" w:color="auto" w:sz="6" w:space="0"/>
            </w:tcBorders>
            <w:shd w:val="clear" w:color="auto" w:fill="auto"/>
            <w:vAlign w:val="center"/>
          </w:tcPr>
          <w:p w14:paraId="26CE7CC2">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14:paraId="40B1C588">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A577B5F">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5、配置≥2*960GB     SSD硬盘；</w:t>
            </w:r>
          </w:p>
        </w:tc>
        <w:tc>
          <w:tcPr>
            <w:tcW w:w="0" w:type="auto"/>
            <w:vMerge w:val="continue"/>
            <w:tcBorders>
              <w:top w:val="nil"/>
              <w:left w:val="nil"/>
              <w:bottom w:val="single" w:color="000000" w:sz="6" w:space="0"/>
              <w:right w:val="single" w:color="auto" w:sz="6" w:space="0"/>
            </w:tcBorders>
            <w:shd w:val="clear" w:color="auto" w:fill="auto"/>
            <w:vAlign w:val="center"/>
          </w:tcPr>
          <w:p w14:paraId="7250A864">
            <w:pPr>
              <w:widowControl/>
              <w:jc w:val="left"/>
              <w:rPr>
                <w:rFonts w:ascii="宋体" w:hAnsi="宋体" w:eastAsia="宋体" w:cs="宋体"/>
                <w:kern w:val="0"/>
                <w:sz w:val="24"/>
                <w:szCs w:val="24"/>
              </w:rPr>
            </w:pPr>
          </w:p>
        </w:tc>
        <w:tc>
          <w:tcPr>
            <w:tcW w:w="0" w:type="auto"/>
            <w:vMerge w:val="continue"/>
            <w:tcBorders>
              <w:top w:val="nil"/>
              <w:left w:val="nil"/>
              <w:bottom w:val="nil"/>
              <w:right w:val="single" w:color="auto" w:sz="6" w:space="0"/>
            </w:tcBorders>
            <w:shd w:val="clear" w:color="auto" w:fill="auto"/>
            <w:vAlign w:val="center"/>
          </w:tcPr>
          <w:p w14:paraId="124688D3">
            <w:pPr>
              <w:widowControl/>
              <w:jc w:val="left"/>
              <w:rPr>
                <w:rFonts w:ascii="宋体" w:hAnsi="宋体" w:eastAsia="宋体" w:cs="宋体"/>
                <w:kern w:val="0"/>
                <w:sz w:val="24"/>
                <w:szCs w:val="24"/>
              </w:rPr>
            </w:pPr>
          </w:p>
        </w:tc>
        <w:tc>
          <w:tcPr>
            <w:tcW w:w="0" w:type="auto"/>
            <w:vMerge w:val="continue"/>
            <w:tcBorders>
              <w:top w:val="nil"/>
              <w:left w:val="nil"/>
              <w:bottom w:val="nil"/>
              <w:right w:val="single" w:color="auto" w:sz="6" w:space="0"/>
            </w:tcBorders>
            <w:shd w:val="clear" w:color="auto" w:fill="auto"/>
            <w:vAlign w:val="center"/>
          </w:tcPr>
          <w:p w14:paraId="66B28BF1">
            <w:pPr>
              <w:widowControl/>
              <w:jc w:val="left"/>
              <w:rPr>
                <w:rFonts w:ascii="宋体" w:hAnsi="宋体" w:eastAsia="宋体" w:cs="宋体"/>
                <w:kern w:val="0"/>
                <w:sz w:val="24"/>
                <w:szCs w:val="24"/>
              </w:rPr>
            </w:pPr>
          </w:p>
        </w:tc>
        <w:tc>
          <w:tcPr>
            <w:tcW w:w="0" w:type="auto"/>
            <w:vMerge w:val="continue"/>
            <w:tcBorders>
              <w:top w:val="nil"/>
              <w:left w:val="nil"/>
              <w:bottom w:val="nil"/>
              <w:right w:val="single" w:color="auto" w:sz="6" w:space="0"/>
            </w:tcBorders>
            <w:shd w:val="clear" w:color="auto" w:fill="auto"/>
            <w:vAlign w:val="center"/>
          </w:tcPr>
          <w:p w14:paraId="368C7A48">
            <w:pPr>
              <w:widowControl/>
              <w:jc w:val="left"/>
              <w:rPr>
                <w:rFonts w:ascii="宋体" w:hAnsi="宋体" w:eastAsia="宋体" w:cs="宋体"/>
                <w:kern w:val="0"/>
                <w:sz w:val="24"/>
                <w:szCs w:val="24"/>
              </w:rPr>
            </w:pPr>
          </w:p>
        </w:tc>
      </w:tr>
      <w:tr w14:paraId="4ED97087">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5" w:hRule="atLeast"/>
        </w:trPr>
        <w:tc>
          <w:tcPr>
            <w:tcW w:w="0" w:type="auto"/>
            <w:vMerge w:val="continue"/>
            <w:tcBorders>
              <w:top w:val="nil"/>
              <w:left w:val="single" w:color="auto" w:sz="6" w:space="0"/>
              <w:bottom w:val="nil"/>
              <w:right w:val="single" w:color="auto" w:sz="6" w:space="0"/>
            </w:tcBorders>
            <w:shd w:val="clear" w:color="auto" w:fill="auto"/>
            <w:vAlign w:val="center"/>
          </w:tcPr>
          <w:p w14:paraId="5E6C36AF">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14:paraId="7BBDD913">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AEE559D">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6、配置≥24个硬盘插槽；</w:t>
            </w:r>
          </w:p>
        </w:tc>
        <w:tc>
          <w:tcPr>
            <w:tcW w:w="0" w:type="auto"/>
            <w:vMerge w:val="continue"/>
            <w:tcBorders>
              <w:top w:val="nil"/>
              <w:left w:val="nil"/>
              <w:bottom w:val="single" w:color="000000" w:sz="6" w:space="0"/>
              <w:right w:val="single" w:color="auto" w:sz="6" w:space="0"/>
            </w:tcBorders>
            <w:shd w:val="clear" w:color="auto" w:fill="auto"/>
            <w:vAlign w:val="center"/>
          </w:tcPr>
          <w:p w14:paraId="1EE49F22">
            <w:pPr>
              <w:widowControl/>
              <w:jc w:val="left"/>
              <w:rPr>
                <w:rFonts w:ascii="宋体" w:hAnsi="宋体" w:eastAsia="宋体" w:cs="宋体"/>
                <w:kern w:val="0"/>
                <w:sz w:val="24"/>
                <w:szCs w:val="24"/>
              </w:rPr>
            </w:pPr>
          </w:p>
        </w:tc>
        <w:tc>
          <w:tcPr>
            <w:tcW w:w="0" w:type="auto"/>
            <w:vMerge w:val="continue"/>
            <w:tcBorders>
              <w:top w:val="nil"/>
              <w:left w:val="nil"/>
              <w:bottom w:val="nil"/>
              <w:right w:val="single" w:color="auto" w:sz="6" w:space="0"/>
            </w:tcBorders>
            <w:shd w:val="clear" w:color="auto" w:fill="auto"/>
            <w:vAlign w:val="center"/>
          </w:tcPr>
          <w:p w14:paraId="08F1CD7D">
            <w:pPr>
              <w:widowControl/>
              <w:jc w:val="left"/>
              <w:rPr>
                <w:rFonts w:ascii="宋体" w:hAnsi="宋体" w:eastAsia="宋体" w:cs="宋体"/>
                <w:kern w:val="0"/>
                <w:sz w:val="24"/>
                <w:szCs w:val="24"/>
              </w:rPr>
            </w:pPr>
          </w:p>
        </w:tc>
        <w:tc>
          <w:tcPr>
            <w:tcW w:w="0" w:type="auto"/>
            <w:vMerge w:val="continue"/>
            <w:tcBorders>
              <w:top w:val="nil"/>
              <w:left w:val="nil"/>
              <w:bottom w:val="nil"/>
              <w:right w:val="single" w:color="auto" w:sz="6" w:space="0"/>
            </w:tcBorders>
            <w:shd w:val="clear" w:color="auto" w:fill="auto"/>
            <w:vAlign w:val="center"/>
          </w:tcPr>
          <w:p w14:paraId="6F29E648">
            <w:pPr>
              <w:widowControl/>
              <w:jc w:val="left"/>
              <w:rPr>
                <w:rFonts w:ascii="宋体" w:hAnsi="宋体" w:eastAsia="宋体" w:cs="宋体"/>
                <w:kern w:val="0"/>
                <w:sz w:val="24"/>
                <w:szCs w:val="24"/>
              </w:rPr>
            </w:pPr>
          </w:p>
        </w:tc>
        <w:tc>
          <w:tcPr>
            <w:tcW w:w="0" w:type="auto"/>
            <w:vMerge w:val="continue"/>
            <w:tcBorders>
              <w:top w:val="nil"/>
              <w:left w:val="nil"/>
              <w:bottom w:val="nil"/>
              <w:right w:val="single" w:color="auto" w:sz="6" w:space="0"/>
            </w:tcBorders>
            <w:shd w:val="clear" w:color="auto" w:fill="auto"/>
            <w:vAlign w:val="center"/>
          </w:tcPr>
          <w:p w14:paraId="5A021270">
            <w:pPr>
              <w:widowControl/>
              <w:jc w:val="left"/>
              <w:rPr>
                <w:rFonts w:ascii="宋体" w:hAnsi="宋体" w:eastAsia="宋体" w:cs="宋体"/>
                <w:kern w:val="0"/>
                <w:sz w:val="24"/>
                <w:szCs w:val="24"/>
              </w:rPr>
            </w:pPr>
          </w:p>
        </w:tc>
      </w:tr>
      <w:tr w14:paraId="192E887B">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5" w:hRule="atLeast"/>
        </w:trPr>
        <w:tc>
          <w:tcPr>
            <w:tcW w:w="0" w:type="auto"/>
            <w:vMerge w:val="continue"/>
            <w:tcBorders>
              <w:top w:val="nil"/>
              <w:left w:val="single" w:color="auto" w:sz="6" w:space="0"/>
              <w:bottom w:val="nil"/>
              <w:right w:val="single" w:color="auto" w:sz="6" w:space="0"/>
            </w:tcBorders>
            <w:shd w:val="clear" w:color="auto" w:fill="auto"/>
            <w:vAlign w:val="center"/>
          </w:tcPr>
          <w:p w14:paraId="2EF39161">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14:paraId="2C9E88D0">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0F2D407">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7、配置≥4*GE电口，4*10GE光口，满配多模光模块；</w:t>
            </w:r>
          </w:p>
        </w:tc>
        <w:tc>
          <w:tcPr>
            <w:tcW w:w="0" w:type="auto"/>
            <w:vMerge w:val="continue"/>
            <w:tcBorders>
              <w:top w:val="nil"/>
              <w:left w:val="nil"/>
              <w:bottom w:val="single" w:color="000000" w:sz="6" w:space="0"/>
              <w:right w:val="single" w:color="auto" w:sz="6" w:space="0"/>
            </w:tcBorders>
            <w:shd w:val="clear" w:color="auto" w:fill="auto"/>
            <w:vAlign w:val="center"/>
          </w:tcPr>
          <w:p w14:paraId="4F3D4420">
            <w:pPr>
              <w:widowControl/>
              <w:jc w:val="left"/>
              <w:rPr>
                <w:rFonts w:ascii="宋体" w:hAnsi="宋体" w:eastAsia="宋体" w:cs="宋体"/>
                <w:kern w:val="0"/>
                <w:sz w:val="24"/>
                <w:szCs w:val="24"/>
              </w:rPr>
            </w:pPr>
          </w:p>
        </w:tc>
        <w:tc>
          <w:tcPr>
            <w:tcW w:w="0" w:type="auto"/>
            <w:vMerge w:val="continue"/>
            <w:tcBorders>
              <w:top w:val="nil"/>
              <w:left w:val="nil"/>
              <w:bottom w:val="nil"/>
              <w:right w:val="single" w:color="auto" w:sz="6" w:space="0"/>
            </w:tcBorders>
            <w:shd w:val="clear" w:color="auto" w:fill="auto"/>
            <w:vAlign w:val="center"/>
          </w:tcPr>
          <w:p w14:paraId="72EE7BD4">
            <w:pPr>
              <w:widowControl/>
              <w:jc w:val="left"/>
              <w:rPr>
                <w:rFonts w:ascii="宋体" w:hAnsi="宋体" w:eastAsia="宋体" w:cs="宋体"/>
                <w:kern w:val="0"/>
                <w:sz w:val="24"/>
                <w:szCs w:val="24"/>
              </w:rPr>
            </w:pPr>
          </w:p>
        </w:tc>
        <w:tc>
          <w:tcPr>
            <w:tcW w:w="0" w:type="auto"/>
            <w:vMerge w:val="continue"/>
            <w:tcBorders>
              <w:top w:val="nil"/>
              <w:left w:val="nil"/>
              <w:bottom w:val="nil"/>
              <w:right w:val="single" w:color="auto" w:sz="6" w:space="0"/>
            </w:tcBorders>
            <w:shd w:val="clear" w:color="auto" w:fill="auto"/>
            <w:vAlign w:val="center"/>
          </w:tcPr>
          <w:p w14:paraId="7F84FCC1">
            <w:pPr>
              <w:widowControl/>
              <w:jc w:val="left"/>
              <w:rPr>
                <w:rFonts w:ascii="宋体" w:hAnsi="宋体" w:eastAsia="宋体" w:cs="宋体"/>
                <w:kern w:val="0"/>
                <w:sz w:val="24"/>
                <w:szCs w:val="24"/>
              </w:rPr>
            </w:pPr>
          </w:p>
        </w:tc>
        <w:tc>
          <w:tcPr>
            <w:tcW w:w="0" w:type="auto"/>
            <w:vMerge w:val="continue"/>
            <w:tcBorders>
              <w:top w:val="nil"/>
              <w:left w:val="nil"/>
              <w:bottom w:val="nil"/>
              <w:right w:val="single" w:color="auto" w:sz="6" w:space="0"/>
            </w:tcBorders>
            <w:shd w:val="clear" w:color="auto" w:fill="auto"/>
            <w:vAlign w:val="center"/>
          </w:tcPr>
          <w:p w14:paraId="3E348C27">
            <w:pPr>
              <w:widowControl/>
              <w:jc w:val="left"/>
              <w:rPr>
                <w:rFonts w:ascii="宋体" w:hAnsi="宋体" w:eastAsia="宋体" w:cs="宋体"/>
                <w:kern w:val="0"/>
                <w:sz w:val="24"/>
                <w:szCs w:val="24"/>
              </w:rPr>
            </w:pPr>
          </w:p>
        </w:tc>
      </w:tr>
      <w:tr w14:paraId="4F3F92E8">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5" w:hRule="atLeast"/>
        </w:trPr>
        <w:tc>
          <w:tcPr>
            <w:tcW w:w="0" w:type="auto"/>
            <w:vMerge w:val="continue"/>
            <w:tcBorders>
              <w:top w:val="nil"/>
              <w:left w:val="single" w:color="auto" w:sz="6" w:space="0"/>
              <w:bottom w:val="nil"/>
              <w:right w:val="single" w:color="auto" w:sz="6" w:space="0"/>
            </w:tcBorders>
            <w:shd w:val="clear" w:color="auto" w:fill="auto"/>
            <w:vAlign w:val="center"/>
          </w:tcPr>
          <w:p w14:paraId="645CED9F">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14:paraId="53FBC273">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509877B">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8、提供功能全面的图形化GUI管理界面。</w:t>
            </w:r>
          </w:p>
        </w:tc>
        <w:tc>
          <w:tcPr>
            <w:tcW w:w="0" w:type="auto"/>
            <w:vMerge w:val="continue"/>
            <w:tcBorders>
              <w:top w:val="nil"/>
              <w:left w:val="nil"/>
              <w:bottom w:val="single" w:color="000000" w:sz="6" w:space="0"/>
              <w:right w:val="single" w:color="auto" w:sz="6" w:space="0"/>
            </w:tcBorders>
            <w:shd w:val="clear" w:color="auto" w:fill="auto"/>
            <w:vAlign w:val="center"/>
          </w:tcPr>
          <w:p w14:paraId="4D77C861">
            <w:pPr>
              <w:widowControl/>
              <w:jc w:val="left"/>
              <w:rPr>
                <w:rFonts w:ascii="宋体" w:hAnsi="宋体" w:eastAsia="宋体" w:cs="宋体"/>
                <w:kern w:val="0"/>
                <w:sz w:val="24"/>
                <w:szCs w:val="24"/>
              </w:rPr>
            </w:pPr>
          </w:p>
        </w:tc>
        <w:tc>
          <w:tcPr>
            <w:tcW w:w="0" w:type="auto"/>
            <w:vMerge w:val="continue"/>
            <w:tcBorders>
              <w:top w:val="nil"/>
              <w:left w:val="nil"/>
              <w:bottom w:val="nil"/>
              <w:right w:val="single" w:color="auto" w:sz="6" w:space="0"/>
            </w:tcBorders>
            <w:shd w:val="clear" w:color="auto" w:fill="auto"/>
            <w:vAlign w:val="center"/>
          </w:tcPr>
          <w:p w14:paraId="7A9EC775">
            <w:pPr>
              <w:widowControl/>
              <w:jc w:val="left"/>
              <w:rPr>
                <w:rFonts w:ascii="宋体" w:hAnsi="宋体" w:eastAsia="宋体" w:cs="宋体"/>
                <w:kern w:val="0"/>
                <w:sz w:val="24"/>
                <w:szCs w:val="24"/>
              </w:rPr>
            </w:pPr>
          </w:p>
        </w:tc>
        <w:tc>
          <w:tcPr>
            <w:tcW w:w="0" w:type="auto"/>
            <w:vMerge w:val="continue"/>
            <w:tcBorders>
              <w:top w:val="nil"/>
              <w:left w:val="nil"/>
              <w:bottom w:val="nil"/>
              <w:right w:val="single" w:color="auto" w:sz="6" w:space="0"/>
            </w:tcBorders>
            <w:shd w:val="clear" w:color="auto" w:fill="auto"/>
            <w:vAlign w:val="center"/>
          </w:tcPr>
          <w:p w14:paraId="0D4A3EE8">
            <w:pPr>
              <w:widowControl/>
              <w:jc w:val="left"/>
              <w:rPr>
                <w:rFonts w:ascii="宋体" w:hAnsi="宋体" w:eastAsia="宋体" w:cs="宋体"/>
                <w:kern w:val="0"/>
                <w:sz w:val="24"/>
                <w:szCs w:val="24"/>
              </w:rPr>
            </w:pPr>
          </w:p>
        </w:tc>
        <w:tc>
          <w:tcPr>
            <w:tcW w:w="0" w:type="auto"/>
            <w:vMerge w:val="continue"/>
            <w:tcBorders>
              <w:top w:val="nil"/>
              <w:left w:val="nil"/>
              <w:bottom w:val="nil"/>
              <w:right w:val="single" w:color="auto" w:sz="6" w:space="0"/>
            </w:tcBorders>
            <w:shd w:val="clear" w:color="auto" w:fill="auto"/>
            <w:vAlign w:val="center"/>
          </w:tcPr>
          <w:p w14:paraId="698F7749">
            <w:pPr>
              <w:widowControl/>
              <w:jc w:val="left"/>
              <w:rPr>
                <w:rFonts w:ascii="宋体" w:hAnsi="宋体" w:eastAsia="宋体" w:cs="宋体"/>
                <w:kern w:val="0"/>
                <w:sz w:val="24"/>
                <w:szCs w:val="24"/>
              </w:rPr>
            </w:pPr>
          </w:p>
        </w:tc>
      </w:tr>
      <w:tr w14:paraId="0DEE44D0">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5" w:hRule="atLeast"/>
        </w:trPr>
        <w:tc>
          <w:tcPr>
            <w:tcW w:w="0" w:type="auto"/>
            <w:vMerge w:val="continue"/>
            <w:tcBorders>
              <w:top w:val="nil"/>
              <w:left w:val="single" w:color="auto" w:sz="6" w:space="0"/>
              <w:bottom w:val="nil"/>
              <w:right w:val="single" w:color="auto" w:sz="6" w:space="0"/>
            </w:tcBorders>
            <w:shd w:val="clear" w:color="auto" w:fill="auto"/>
            <w:vAlign w:val="center"/>
          </w:tcPr>
          <w:p w14:paraId="7D900E52">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14:paraId="61A18B8E">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172B061">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9、配置≥12*3.84TB     SSD硬盘；</w:t>
            </w:r>
          </w:p>
        </w:tc>
        <w:tc>
          <w:tcPr>
            <w:tcW w:w="0" w:type="auto"/>
            <w:vMerge w:val="continue"/>
            <w:tcBorders>
              <w:top w:val="nil"/>
              <w:left w:val="nil"/>
              <w:bottom w:val="single" w:color="000000" w:sz="6" w:space="0"/>
              <w:right w:val="single" w:color="auto" w:sz="6" w:space="0"/>
            </w:tcBorders>
            <w:shd w:val="clear" w:color="auto" w:fill="auto"/>
            <w:vAlign w:val="center"/>
          </w:tcPr>
          <w:p w14:paraId="30DB475E">
            <w:pPr>
              <w:widowControl/>
              <w:jc w:val="left"/>
              <w:rPr>
                <w:rFonts w:ascii="宋体" w:hAnsi="宋体" w:eastAsia="宋体" w:cs="宋体"/>
                <w:kern w:val="0"/>
                <w:sz w:val="24"/>
                <w:szCs w:val="24"/>
              </w:rPr>
            </w:pPr>
          </w:p>
        </w:tc>
        <w:tc>
          <w:tcPr>
            <w:tcW w:w="0" w:type="auto"/>
            <w:vMerge w:val="continue"/>
            <w:tcBorders>
              <w:top w:val="nil"/>
              <w:left w:val="nil"/>
              <w:bottom w:val="nil"/>
              <w:right w:val="single" w:color="auto" w:sz="6" w:space="0"/>
            </w:tcBorders>
            <w:shd w:val="clear" w:color="auto" w:fill="auto"/>
            <w:vAlign w:val="center"/>
          </w:tcPr>
          <w:p w14:paraId="0AD75F73">
            <w:pPr>
              <w:widowControl/>
              <w:jc w:val="left"/>
              <w:rPr>
                <w:rFonts w:ascii="宋体" w:hAnsi="宋体" w:eastAsia="宋体" w:cs="宋体"/>
                <w:kern w:val="0"/>
                <w:sz w:val="24"/>
                <w:szCs w:val="24"/>
              </w:rPr>
            </w:pPr>
          </w:p>
        </w:tc>
        <w:tc>
          <w:tcPr>
            <w:tcW w:w="0" w:type="auto"/>
            <w:vMerge w:val="continue"/>
            <w:tcBorders>
              <w:top w:val="nil"/>
              <w:left w:val="nil"/>
              <w:bottom w:val="nil"/>
              <w:right w:val="single" w:color="auto" w:sz="6" w:space="0"/>
            </w:tcBorders>
            <w:shd w:val="clear" w:color="auto" w:fill="auto"/>
            <w:vAlign w:val="center"/>
          </w:tcPr>
          <w:p w14:paraId="4AAFBA70">
            <w:pPr>
              <w:widowControl/>
              <w:jc w:val="left"/>
              <w:rPr>
                <w:rFonts w:ascii="宋体" w:hAnsi="宋体" w:eastAsia="宋体" w:cs="宋体"/>
                <w:kern w:val="0"/>
                <w:sz w:val="24"/>
                <w:szCs w:val="24"/>
              </w:rPr>
            </w:pPr>
          </w:p>
        </w:tc>
        <w:tc>
          <w:tcPr>
            <w:tcW w:w="0" w:type="auto"/>
            <w:vMerge w:val="continue"/>
            <w:tcBorders>
              <w:top w:val="nil"/>
              <w:left w:val="nil"/>
              <w:bottom w:val="nil"/>
              <w:right w:val="single" w:color="auto" w:sz="6" w:space="0"/>
            </w:tcBorders>
            <w:shd w:val="clear" w:color="auto" w:fill="auto"/>
            <w:vAlign w:val="center"/>
          </w:tcPr>
          <w:p w14:paraId="68ABDDDF">
            <w:pPr>
              <w:widowControl/>
              <w:jc w:val="left"/>
              <w:rPr>
                <w:rFonts w:ascii="宋体" w:hAnsi="宋体" w:eastAsia="宋体" w:cs="宋体"/>
                <w:kern w:val="0"/>
                <w:sz w:val="24"/>
                <w:szCs w:val="24"/>
              </w:rPr>
            </w:pPr>
          </w:p>
        </w:tc>
      </w:tr>
      <w:tr w14:paraId="25451C08">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5" w:hRule="atLeast"/>
        </w:trPr>
        <w:tc>
          <w:tcPr>
            <w:tcW w:w="0" w:type="auto"/>
            <w:vMerge w:val="continue"/>
            <w:tcBorders>
              <w:top w:val="nil"/>
              <w:left w:val="single" w:color="auto" w:sz="6" w:space="0"/>
              <w:bottom w:val="nil"/>
              <w:right w:val="single" w:color="auto" w:sz="6" w:space="0"/>
            </w:tcBorders>
            <w:shd w:val="clear" w:color="auto" w:fill="auto"/>
            <w:vAlign w:val="center"/>
          </w:tcPr>
          <w:p w14:paraId="0980F364">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14:paraId="717CBFAD">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2A60252">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14:paraId="0AF5D17A">
            <w:pPr>
              <w:widowControl/>
              <w:jc w:val="left"/>
              <w:rPr>
                <w:rFonts w:ascii="宋体" w:hAnsi="宋体" w:eastAsia="宋体" w:cs="宋体"/>
                <w:kern w:val="0"/>
                <w:sz w:val="24"/>
                <w:szCs w:val="24"/>
              </w:rPr>
            </w:pPr>
          </w:p>
        </w:tc>
        <w:tc>
          <w:tcPr>
            <w:tcW w:w="0" w:type="auto"/>
            <w:vMerge w:val="continue"/>
            <w:tcBorders>
              <w:top w:val="nil"/>
              <w:left w:val="nil"/>
              <w:bottom w:val="nil"/>
              <w:right w:val="single" w:color="auto" w:sz="6" w:space="0"/>
            </w:tcBorders>
            <w:shd w:val="clear" w:color="auto" w:fill="auto"/>
            <w:vAlign w:val="center"/>
          </w:tcPr>
          <w:p w14:paraId="1D1D004D">
            <w:pPr>
              <w:widowControl/>
              <w:jc w:val="left"/>
              <w:rPr>
                <w:rFonts w:ascii="宋体" w:hAnsi="宋体" w:eastAsia="宋体" w:cs="宋体"/>
                <w:kern w:val="0"/>
                <w:sz w:val="24"/>
                <w:szCs w:val="24"/>
              </w:rPr>
            </w:pPr>
          </w:p>
        </w:tc>
        <w:tc>
          <w:tcPr>
            <w:tcW w:w="0" w:type="auto"/>
            <w:vMerge w:val="continue"/>
            <w:tcBorders>
              <w:top w:val="nil"/>
              <w:left w:val="nil"/>
              <w:bottom w:val="nil"/>
              <w:right w:val="single" w:color="auto" w:sz="6" w:space="0"/>
            </w:tcBorders>
            <w:shd w:val="clear" w:color="auto" w:fill="auto"/>
            <w:vAlign w:val="center"/>
          </w:tcPr>
          <w:p w14:paraId="2AC527E9">
            <w:pPr>
              <w:widowControl/>
              <w:jc w:val="left"/>
              <w:rPr>
                <w:rFonts w:ascii="宋体" w:hAnsi="宋体" w:eastAsia="宋体" w:cs="宋体"/>
                <w:kern w:val="0"/>
                <w:sz w:val="24"/>
                <w:szCs w:val="24"/>
              </w:rPr>
            </w:pPr>
          </w:p>
        </w:tc>
        <w:tc>
          <w:tcPr>
            <w:tcW w:w="0" w:type="auto"/>
            <w:vMerge w:val="continue"/>
            <w:tcBorders>
              <w:top w:val="nil"/>
              <w:left w:val="nil"/>
              <w:bottom w:val="nil"/>
              <w:right w:val="single" w:color="auto" w:sz="6" w:space="0"/>
            </w:tcBorders>
            <w:shd w:val="clear" w:color="auto" w:fill="auto"/>
            <w:vAlign w:val="center"/>
          </w:tcPr>
          <w:p w14:paraId="292799D6">
            <w:pPr>
              <w:widowControl/>
              <w:jc w:val="left"/>
              <w:rPr>
                <w:rFonts w:ascii="宋体" w:hAnsi="宋体" w:eastAsia="宋体" w:cs="宋体"/>
                <w:kern w:val="0"/>
                <w:sz w:val="24"/>
                <w:szCs w:val="24"/>
              </w:rPr>
            </w:pPr>
          </w:p>
        </w:tc>
      </w:tr>
      <w:tr w14:paraId="71C3D8A9">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5" w:hRule="atLeast"/>
        </w:trPr>
        <w:tc>
          <w:tcPr>
            <w:tcW w:w="0" w:type="auto"/>
            <w:vMerge w:val="restart"/>
            <w:tcBorders>
              <w:top w:val="single" w:color="auto" w:sz="6" w:space="0"/>
              <w:left w:val="single" w:color="auto" w:sz="6" w:space="0"/>
              <w:bottom w:val="single" w:color="000000" w:sz="6" w:space="0"/>
              <w:right w:val="single" w:color="auto" w:sz="6" w:space="0"/>
            </w:tcBorders>
            <w:shd w:val="clear" w:color="auto" w:fill="FFFFFF"/>
            <w:tcMar>
              <w:top w:w="0" w:type="dxa"/>
              <w:left w:w="105" w:type="dxa"/>
              <w:bottom w:w="0" w:type="dxa"/>
              <w:right w:w="105" w:type="dxa"/>
            </w:tcMar>
            <w:vAlign w:val="center"/>
          </w:tcPr>
          <w:p w14:paraId="4EB9BF7D">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5</w:t>
            </w:r>
          </w:p>
        </w:tc>
        <w:tc>
          <w:tcPr>
            <w:tcW w:w="0" w:type="auto"/>
            <w:vMerge w:val="restart"/>
            <w:tcBorders>
              <w:top w:val="nil"/>
              <w:left w:val="nil"/>
              <w:bottom w:val="single" w:color="000000" w:sz="6" w:space="0"/>
              <w:right w:val="single" w:color="auto" w:sz="6" w:space="0"/>
            </w:tcBorders>
            <w:shd w:val="clear" w:color="auto" w:fill="FFFFFF"/>
            <w:tcMar>
              <w:top w:w="0" w:type="dxa"/>
              <w:left w:w="105" w:type="dxa"/>
              <w:bottom w:w="0" w:type="dxa"/>
              <w:right w:w="105" w:type="dxa"/>
            </w:tcMar>
            <w:vAlign w:val="center"/>
          </w:tcPr>
          <w:p w14:paraId="2AE9E1E6">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数据库服务器存储节点</w:t>
            </w: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D1A7109">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1、规格：2U 2路X86服务器，标配原厂导轨；国产，非OEM产品；</w:t>
            </w:r>
          </w:p>
        </w:tc>
        <w:tc>
          <w:tcPr>
            <w:tcW w:w="0" w:type="auto"/>
            <w:vMerge w:val="restart"/>
            <w:tcBorders>
              <w:top w:val="nil"/>
              <w:left w:val="nil"/>
              <w:bottom w:val="single" w:color="000000" w:sz="6" w:space="0"/>
              <w:right w:val="single" w:color="auto" w:sz="6" w:space="0"/>
            </w:tcBorders>
            <w:shd w:val="clear" w:color="auto" w:fill="FFFFFF"/>
            <w:tcMar>
              <w:top w:w="0" w:type="dxa"/>
              <w:left w:w="105" w:type="dxa"/>
              <w:bottom w:w="0" w:type="dxa"/>
              <w:right w:w="105" w:type="dxa"/>
            </w:tcMar>
            <w:vAlign w:val="center"/>
          </w:tcPr>
          <w:p w14:paraId="7CEF8B38">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台</w:t>
            </w:r>
          </w:p>
        </w:tc>
        <w:tc>
          <w:tcPr>
            <w:tcW w:w="0" w:type="auto"/>
            <w:vMerge w:val="restart"/>
            <w:tcBorders>
              <w:top w:val="single" w:color="auto" w:sz="6" w:space="0"/>
              <w:left w:val="nil"/>
              <w:bottom w:val="single" w:color="000000" w:sz="6" w:space="0"/>
              <w:right w:val="single" w:color="auto" w:sz="6" w:space="0"/>
            </w:tcBorders>
            <w:shd w:val="clear" w:color="auto" w:fill="FFFFFF"/>
            <w:tcMar>
              <w:top w:w="0" w:type="dxa"/>
              <w:left w:w="105" w:type="dxa"/>
              <w:bottom w:w="0" w:type="dxa"/>
              <w:right w:w="105" w:type="dxa"/>
            </w:tcMar>
            <w:vAlign w:val="center"/>
          </w:tcPr>
          <w:p w14:paraId="7C849271">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40</w:t>
            </w:r>
          </w:p>
        </w:tc>
        <w:tc>
          <w:tcPr>
            <w:tcW w:w="0" w:type="auto"/>
            <w:vMerge w:val="restart"/>
            <w:tcBorders>
              <w:top w:val="single" w:color="auto" w:sz="6" w:space="0"/>
              <w:left w:val="nil"/>
              <w:bottom w:val="single" w:color="000000" w:sz="6" w:space="0"/>
              <w:right w:val="single" w:color="auto" w:sz="6" w:space="0"/>
            </w:tcBorders>
            <w:shd w:val="clear" w:color="auto" w:fill="FFFFFF"/>
            <w:tcMar>
              <w:top w:w="0" w:type="dxa"/>
              <w:left w:w="105" w:type="dxa"/>
              <w:bottom w:w="0" w:type="dxa"/>
              <w:right w:w="105" w:type="dxa"/>
            </w:tcMar>
            <w:vAlign w:val="center"/>
          </w:tcPr>
          <w:p w14:paraId="723A230B">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16</w:t>
            </w:r>
          </w:p>
        </w:tc>
        <w:tc>
          <w:tcPr>
            <w:tcW w:w="0" w:type="auto"/>
            <w:vMerge w:val="restart"/>
            <w:tcBorders>
              <w:top w:val="single" w:color="auto" w:sz="6" w:space="0"/>
              <w:left w:val="nil"/>
              <w:bottom w:val="single" w:color="000000" w:sz="6" w:space="0"/>
              <w:right w:val="single" w:color="auto" w:sz="6" w:space="0"/>
            </w:tcBorders>
            <w:shd w:val="clear" w:color="auto" w:fill="FFFFFF"/>
            <w:tcMar>
              <w:top w:w="0" w:type="dxa"/>
              <w:left w:w="105" w:type="dxa"/>
              <w:bottom w:w="0" w:type="dxa"/>
              <w:right w:w="105" w:type="dxa"/>
            </w:tcMar>
            <w:vAlign w:val="center"/>
          </w:tcPr>
          <w:p w14:paraId="23612525">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56</w:t>
            </w:r>
          </w:p>
        </w:tc>
      </w:tr>
      <w:tr w14:paraId="0D450BC8">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5" w:hRule="atLeast"/>
        </w:trPr>
        <w:tc>
          <w:tcPr>
            <w:tcW w:w="0" w:type="auto"/>
            <w:vMerge w:val="continue"/>
            <w:tcBorders>
              <w:top w:val="single" w:color="auto" w:sz="6" w:space="0"/>
              <w:left w:val="single" w:color="auto" w:sz="6" w:space="0"/>
              <w:bottom w:val="single" w:color="000000" w:sz="6" w:space="0"/>
              <w:right w:val="single" w:color="auto" w:sz="6" w:space="0"/>
            </w:tcBorders>
            <w:shd w:val="clear" w:color="auto" w:fill="auto"/>
            <w:vAlign w:val="center"/>
          </w:tcPr>
          <w:p w14:paraId="4841B1D7">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14:paraId="01C5FB75">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548A1EA">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2、处理器：物理处理器2颗，每颗≥2.1G/16核；</w:t>
            </w:r>
          </w:p>
        </w:tc>
        <w:tc>
          <w:tcPr>
            <w:tcW w:w="0" w:type="auto"/>
            <w:vMerge w:val="continue"/>
            <w:tcBorders>
              <w:top w:val="nil"/>
              <w:left w:val="nil"/>
              <w:bottom w:val="single" w:color="000000" w:sz="6" w:space="0"/>
              <w:right w:val="single" w:color="auto" w:sz="6" w:space="0"/>
            </w:tcBorders>
            <w:shd w:val="clear" w:color="auto" w:fill="auto"/>
            <w:vAlign w:val="center"/>
          </w:tcPr>
          <w:p w14:paraId="023AAB82">
            <w:pPr>
              <w:widowControl/>
              <w:jc w:val="left"/>
              <w:rPr>
                <w:rFonts w:ascii="宋体" w:hAnsi="宋体" w:eastAsia="宋体" w:cs="宋体"/>
                <w:kern w:val="0"/>
                <w:sz w:val="24"/>
                <w:szCs w:val="24"/>
              </w:rPr>
            </w:pPr>
          </w:p>
        </w:tc>
        <w:tc>
          <w:tcPr>
            <w:tcW w:w="0" w:type="auto"/>
            <w:vMerge w:val="continue"/>
            <w:tcBorders>
              <w:top w:val="single" w:color="auto" w:sz="6" w:space="0"/>
              <w:left w:val="nil"/>
              <w:bottom w:val="single" w:color="000000" w:sz="6" w:space="0"/>
              <w:right w:val="single" w:color="auto" w:sz="6" w:space="0"/>
            </w:tcBorders>
            <w:shd w:val="clear" w:color="auto" w:fill="auto"/>
            <w:vAlign w:val="center"/>
          </w:tcPr>
          <w:p w14:paraId="17BAA6F2">
            <w:pPr>
              <w:widowControl/>
              <w:jc w:val="left"/>
              <w:rPr>
                <w:rFonts w:ascii="宋体" w:hAnsi="宋体" w:eastAsia="宋体" w:cs="宋体"/>
                <w:kern w:val="0"/>
                <w:sz w:val="24"/>
                <w:szCs w:val="24"/>
              </w:rPr>
            </w:pPr>
          </w:p>
        </w:tc>
        <w:tc>
          <w:tcPr>
            <w:tcW w:w="0" w:type="auto"/>
            <w:vMerge w:val="continue"/>
            <w:tcBorders>
              <w:top w:val="single" w:color="auto" w:sz="6" w:space="0"/>
              <w:left w:val="nil"/>
              <w:bottom w:val="single" w:color="000000" w:sz="6" w:space="0"/>
              <w:right w:val="single" w:color="auto" w:sz="6" w:space="0"/>
            </w:tcBorders>
            <w:shd w:val="clear" w:color="auto" w:fill="auto"/>
            <w:vAlign w:val="center"/>
          </w:tcPr>
          <w:p w14:paraId="51FAA1D5">
            <w:pPr>
              <w:widowControl/>
              <w:jc w:val="left"/>
              <w:rPr>
                <w:rFonts w:ascii="宋体" w:hAnsi="宋体" w:eastAsia="宋体" w:cs="宋体"/>
                <w:kern w:val="0"/>
                <w:sz w:val="24"/>
                <w:szCs w:val="24"/>
              </w:rPr>
            </w:pPr>
          </w:p>
        </w:tc>
        <w:tc>
          <w:tcPr>
            <w:tcW w:w="0" w:type="auto"/>
            <w:vMerge w:val="continue"/>
            <w:tcBorders>
              <w:top w:val="single" w:color="auto" w:sz="6" w:space="0"/>
              <w:left w:val="nil"/>
              <w:bottom w:val="single" w:color="000000" w:sz="6" w:space="0"/>
              <w:right w:val="single" w:color="auto" w:sz="6" w:space="0"/>
            </w:tcBorders>
            <w:shd w:val="clear" w:color="auto" w:fill="auto"/>
            <w:vAlign w:val="center"/>
          </w:tcPr>
          <w:p w14:paraId="2E7A067A">
            <w:pPr>
              <w:widowControl/>
              <w:jc w:val="left"/>
              <w:rPr>
                <w:rFonts w:ascii="宋体" w:hAnsi="宋体" w:eastAsia="宋体" w:cs="宋体"/>
                <w:kern w:val="0"/>
                <w:sz w:val="24"/>
                <w:szCs w:val="24"/>
              </w:rPr>
            </w:pPr>
          </w:p>
        </w:tc>
      </w:tr>
      <w:tr w14:paraId="1BB1B96C">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5" w:hRule="atLeast"/>
        </w:trPr>
        <w:tc>
          <w:tcPr>
            <w:tcW w:w="0" w:type="auto"/>
            <w:vMerge w:val="continue"/>
            <w:tcBorders>
              <w:top w:val="single" w:color="auto" w:sz="6" w:space="0"/>
              <w:left w:val="single" w:color="auto" w:sz="6" w:space="0"/>
              <w:bottom w:val="single" w:color="000000" w:sz="6" w:space="0"/>
              <w:right w:val="single" w:color="auto" w:sz="6" w:space="0"/>
            </w:tcBorders>
            <w:shd w:val="clear" w:color="auto" w:fill="auto"/>
            <w:vAlign w:val="center"/>
          </w:tcPr>
          <w:p w14:paraId="6F22B57C">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14:paraId="5AE63A5B">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B5559DB">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3、配置≥640GB 内存；</w:t>
            </w:r>
          </w:p>
        </w:tc>
        <w:tc>
          <w:tcPr>
            <w:tcW w:w="0" w:type="auto"/>
            <w:vMerge w:val="continue"/>
            <w:tcBorders>
              <w:top w:val="nil"/>
              <w:left w:val="nil"/>
              <w:bottom w:val="single" w:color="000000" w:sz="6" w:space="0"/>
              <w:right w:val="single" w:color="auto" w:sz="6" w:space="0"/>
            </w:tcBorders>
            <w:shd w:val="clear" w:color="auto" w:fill="auto"/>
            <w:vAlign w:val="center"/>
          </w:tcPr>
          <w:p w14:paraId="11136B56">
            <w:pPr>
              <w:widowControl/>
              <w:jc w:val="left"/>
              <w:rPr>
                <w:rFonts w:ascii="宋体" w:hAnsi="宋体" w:eastAsia="宋体" w:cs="宋体"/>
                <w:kern w:val="0"/>
                <w:sz w:val="24"/>
                <w:szCs w:val="24"/>
              </w:rPr>
            </w:pPr>
          </w:p>
        </w:tc>
        <w:tc>
          <w:tcPr>
            <w:tcW w:w="0" w:type="auto"/>
            <w:vMerge w:val="continue"/>
            <w:tcBorders>
              <w:top w:val="single" w:color="auto" w:sz="6" w:space="0"/>
              <w:left w:val="nil"/>
              <w:bottom w:val="single" w:color="000000" w:sz="6" w:space="0"/>
              <w:right w:val="single" w:color="auto" w:sz="6" w:space="0"/>
            </w:tcBorders>
            <w:shd w:val="clear" w:color="auto" w:fill="auto"/>
            <w:vAlign w:val="center"/>
          </w:tcPr>
          <w:p w14:paraId="2DAB0FA7">
            <w:pPr>
              <w:widowControl/>
              <w:jc w:val="left"/>
              <w:rPr>
                <w:rFonts w:ascii="宋体" w:hAnsi="宋体" w:eastAsia="宋体" w:cs="宋体"/>
                <w:kern w:val="0"/>
                <w:sz w:val="24"/>
                <w:szCs w:val="24"/>
              </w:rPr>
            </w:pPr>
          </w:p>
        </w:tc>
        <w:tc>
          <w:tcPr>
            <w:tcW w:w="0" w:type="auto"/>
            <w:vMerge w:val="continue"/>
            <w:tcBorders>
              <w:top w:val="single" w:color="auto" w:sz="6" w:space="0"/>
              <w:left w:val="nil"/>
              <w:bottom w:val="single" w:color="000000" w:sz="6" w:space="0"/>
              <w:right w:val="single" w:color="auto" w:sz="6" w:space="0"/>
            </w:tcBorders>
            <w:shd w:val="clear" w:color="auto" w:fill="auto"/>
            <w:vAlign w:val="center"/>
          </w:tcPr>
          <w:p w14:paraId="3D2AB78F">
            <w:pPr>
              <w:widowControl/>
              <w:jc w:val="left"/>
              <w:rPr>
                <w:rFonts w:ascii="宋体" w:hAnsi="宋体" w:eastAsia="宋体" w:cs="宋体"/>
                <w:kern w:val="0"/>
                <w:sz w:val="24"/>
                <w:szCs w:val="24"/>
              </w:rPr>
            </w:pPr>
          </w:p>
        </w:tc>
        <w:tc>
          <w:tcPr>
            <w:tcW w:w="0" w:type="auto"/>
            <w:vMerge w:val="continue"/>
            <w:tcBorders>
              <w:top w:val="single" w:color="auto" w:sz="6" w:space="0"/>
              <w:left w:val="nil"/>
              <w:bottom w:val="single" w:color="000000" w:sz="6" w:space="0"/>
              <w:right w:val="single" w:color="auto" w:sz="6" w:space="0"/>
            </w:tcBorders>
            <w:shd w:val="clear" w:color="auto" w:fill="auto"/>
            <w:vAlign w:val="center"/>
          </w:tcPr>
          <w:p w14:paraId="78595CED">
            <w:pPr>
              <w:widowControl/>
              <w:jc w:val="left"/>
              <w:rPr>
                <w:rFonts w:ascii="宋体" w:hAnsi="宋体" w:eastAsia="宋体" w:cs="宋体"/>
                <w:kern w:val="0"/>
                <w:sz w:val="24"/>
                <w:szCs w:val="24"/>
              </w:rPr>
            </w:pPr>
          </w:p>
        </w:tc>
      </w:tr>
      <w:tr w14:paraId="6E614054">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5" w:hRule="atLeast"/>
        </w:trPr>
        <w:tc>
          <w:tcPr>
            <w:tcW w:w="0" w:type="auto"/>
            <w:vMerge w:val="continue"/>
            <w:tcBorders>
              <w:top w:val="single" w:color="auto" w:sz="6" w:space="0"/>
              <w:left w:val="single" w:color="auto" w:sz="6" w:space="0"/>
              <w:bottom w:val="single" w:color="000000" w:sz="6" w:space="0"/>
              <w:right w:val="single" w:color="auto" w:sz="6" w:space="0"/>
            </w:tcBorders>
            <w:shd w:val="clear" w:color="auto" w:fill="auto"/>
            <w:vAlign w:val="center"/>
          </w:tcPr>
          <w:p w14:paraId="5904723A">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14:paraId="08D877DD">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5D85645">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4、配置1张2GB缓存独立RAID卡，配置超级电容，支持RAID0/1/10/5/6/50等级别；</w:t>
            </w:r>
          </w:p>
        </w:tc>
        <w:tc>
          <w:tcPr>
            <w:tcW w:w="0" w:type="auto"/>
            <w:vMerge w:val="continue"/>
            <w:tcBorders>
              <w:top w:val="nil"/>
              <w:left w:val="nil"/>
              <w:bottom w:val="single" w:color="000000" w:sz="6" w:space="0"/>
              <w:right w:val="single" w:color="auto" w:sz="6" w:space="0"/>
            </w:tcBorders>
            <w:shd w:val="clear" w:color="auto" w:fill="auto"/>
            <w:vAlign w:val="center"/>
          </w:tcPr>
          <w:p w14:paraId="7798BB3A">
            <w:pPr>
              <w:widowControl/>
              <w:jc w:val="left"/>
              <w:rPr>
                <w:rFonts w:ascii="宋体" w:hAnsi="宋体" w:eastAsia="宋体" w:cs="宋体"/>
                <w:kern w:val="0"/>
                <w:sz w:val="24"/>
                <w:szCs w:val="24"/>
              </w:rPr>
            </w:pPr>
          </w:p>
        </w:tc>
        <w:tc>
          <w:tcPr>
            <w:tcW w:w="0" w:type="auto"/>
            <w:vMerge w:val="continue"/>
            <w:tcBorders>
              <w:top w:val="single" w:color="auto" w:sz="6" w:space="0"/>
              <w:left w:val="nil"/>
              <w:bottom w:val="single" w:color="000000" w:sz="6" w:space="0"/>
              <w:right w:val="single" w:color="auto" w:sz="6" w:space="0"/>
            </w:tcBorders>
            <w:shd w:val="clear" w:color="auto" w:fill="auto"/>
            <w:vAlign w:val="center"/>
          </w:tcPr>
          <w:p w14:paraId="66AA20A5">
            <w:pPr>
              <w:widowControl/>
              <w:jc w:val="left"/>
              <w:rPr>
                <w:rFonts w:ascii="宋体" w:hAnsi="宋体" w:eastAsia="宋体" w:cs="宋体"/>
                <w:kern w:val="0"/>
                <w:sz w:val="24"/>
                <w:szCs w:val="24"/>
              </w:rPr>
            </w:pPr>
          </w:p>
        </w:tc>
        <w:tc>
          <w:tcPr>
            <w:tcW w:w="0" w:type="auto"/>
            <w:vMerge w:val="continue"/>
            <w:tcBorders>
              <w:top w:val="single" w:color="auto" w:sz="6" w:space="0"/>
              <w:left w:val="nil"/>
              <w:bottom w:val="single" w:color="000000" w:sz="6" w:space="0"/>
              <w:right w:val="single" w:color="auto" w:sz="6" w:space="0"/>
            </w:tcBorders>
            <w:shd w:val="clear" w:color="auto" w:fill="auto"/>
            <w:vAlign w:val="center"/>
          </w:tcPr>
          <w:p w14:paraId="00AFAD41">
            <w:pPr>
              <w:widowControl/>
              <w:jc w:val="left"/>
              <w:rPr>
                <w:rFonts w:ascii="宋体" w:hAnsi="宋体" w:eastAsia="宋体" w:cs="宋体"/>
                <w:kern w:val="0"/>
                <w:sz w:val="24"/>
                <w:szCs w:val="24"/>
              </w:rPr>
            </w:pPr>
          </w:p>
        </w:tc>
        <w:tc>
          <w:tcPr>
            <w:tcW w:w="0" w:type="auto"/>
            <w:vMerge w:val="continue"/>
            <w:tcBorders>
              <w:top w:val="single" w:color="auto" w:sz="6" w:space="0"/>
              <w:left w:val="nil"/>
              <w:bottom w:val="single" w:color="000000" w:sz="6" w:space="0"/>
              <w:right w:val="single" w:color="auto" w:sz="6" w:space="0"/>
            </w:tcBorders>
            <w:shd w:val="clear" w:color="auto" w:fill="auto"/>
            <w:vAlign w:val="center"/>
          </w:tcPr>
          <w:p w14:paraId="090526FC">
            <w:pPr>
              <w:widowControl/>
              <w:jc w:val="left"/>
              <w:rPr>
                <w:rFonts w:ascii="宋体" w:hAnsi="宋体" w:eastAsia="宋体" w:cs="宋体"/>
                <w:kern w:val="0"/>
                <w:sz w:val="24"/>
                <w:szCs w:val="24"/>
              </w:rPr>
            </w:pPr>
          </w:p>
        </w:tc>
      </w:tr>
      <w:tr w14:paraId="28984AB0">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5" w:hRule="atLeast"/>
        </w:trPr>
        <w:tc>
          <w:tcPr>
            <w:tcW w:w="0" w:type="auto"/>
            <w:vMerge w:val="continue"/>
            <w:tcBorders>
              <w:top w:val="single" w:color="auto" w:sz="6" w:space="0"/>
              <w:left w:val="single" w:color="auto" w:sz="6" w:space="0"/>
              <w:bottom w:val="single" w:color="000000" w:sz="6" w:space="0"/>
              <w:right w:val="single" w:color="auto" w:sz="6" w:space="0"/>
            </w:tcBorders>
            <w:shd w:val="clear" w:color="auto" w:fill="auto"/>
            <w:vAlign w:val="center"/>
          </w:tcPr>
          <w:p w14:paraId="044E302D">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14:paraId="241789E8">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4606818">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5、配置≥2*960GB     SSD硬盘；</w:t>
            </w:r>
          </w:p>
        </w:tc>
        <w:tc>
          <w:tcPr>
            <w:tcW w:w="0" w:type="auto"/>
            <w:vMerge w:val="continue"/>
            <w:tcBorders>
              <w:top w:val="nil"/>
              <w:left w:val="nil"/>
              <w:bottom w:val="single" w:color="000000" w:sz="6" w:space="0"/>
              <w:right w:val="single" w:color="auto" w:sz="6" w:space="0"/>
            </w:tcBorders>
            <w:shd w:val="clear" w:color="auto" w:fill="auto"/>
            <w:vAlign w:val="center"/>
          </w:tcPr>
          <w:p w14:paraId="4FDE0405">
            <w:pPr>
              <w:widowControl/>
              <w:jc w:val="left"/>
              <w:rPr>
                <w:rFonts w:ascii="宋体" w:hAnsi="宋体" w:eastAsia="宋体" w:cs="宋体"/>
                <w:kern w:val="0"/>
                <w:sz w:val="24"/>
                <w:szCs w:val="24"/>
              </w:rPr>
            </w:pPr>
          </w:p>
        </w:tc>
        <w:tc>
          <w:tcPr>
            <w:tcW w:w="0" w:type="auto"/>
            <w:vMerge w:val="continue"/>
            <w:tcBorders>
              <w:top w:val="single" w:color="auto" w:sz="6" w:space="0"/>
              <w:left w:val="nil"/>
              <w:bottom w:val="single" w:color="000000" w:sz="6" w:space="0"/>
              <w:right w:val="single" w:color="auto" w:sz="6" w:space="0"/>
            </w:tcBorders>
            <w:shd w:val="clear" w:color="auto" w:fill="auto"/>
            <w:vAlign w:val="center"/>
          </w:tcPr>
          <w:p w14:paraId="24C7D787">
            <w:pPr>
              <w:widowControl/>
              <w:jc w:val="left"/>
              <w:rPr>
                <w:rFonts w:ascii="宋体" w:hAnsi="宋体" w:eastAsia="宋体" w:cs="宋体"/>
                <w:kern w:val="0"/>
                <w:sz w:val="24"/>
                <w:szCs w:val="24"/>
              </w:rPr>
            </w:pPr>
          </w:p>
        </w:tc>
        <w:tc>
          <w:tcPr>
            <w:tcW w:w="0" w:type="auto"/>
            <w:vMerge w:val="continue"/>
            <w:tcBorders>
              <w:top w:val="single" w:color="auto" w:sz="6" w:space="0"/>
              <w:left w:val="nil"/>
              <w:bottom w:val="single" w:color="000000" w:sz="6" w:space="0"/>
              <w:right w:val="single" w:color="auto" w:sz="6" w:space="0"/>
            </w:tcBorders>
            <w:shd w:val="clear" w:color="auto" w:fill="auto"/>
            <w:vAlign w:val="center"/>
          </w:tcPr>
          <w:p w14:paraId="312A360A">
            <w:pPr>
              <w:widowControl/>
              <w:jc w:val="left"/>
              <w:rPr>
                <w:rFonts w:ascii="宋体" w:hAnsi="宋体" w:eastAsia="宋体" w:cs="宋体"/>
                <w:kern w:val="0"/>
                <w:sz w:val="24"/>
                <w:szCs w:val="24"/>
              </w:rPr>
            </w:pPr>
          </w:p>
        </w:tc>
        <w:tc>
          <w:tcPr>
            <w:tcW w:w="0" w:type="auto"/>
            <w:vMerge w:val="continue"/>
            <w:tcBorders>
              <w:top w:val="single" w:color="auto" w:sz="6" w:space="0"/>
              <w:left w:val="nil"/>
              <w:bottom w:val="single" w:color="000000" w:sz="6" w:space="0"/>
              <w:right w:val="single" w:color="auto" w:sz="6" w:space="0"/>
            </w:tcBorders>
            <w:shd w:val="clear" w:color="auto" w:fill="auto"/>
            <w:vAlign w:val="center"/>
          </w:tcPr>
          <w:p w14:paraId="79948A29">
            <w:pPr>
              <w:widowControl/>
              <w:jc w:val="left"/>
              <w:rPr>
                <w:rFonts w:ascii="宋体" w:hAnsi="宋体" w:eastAsia="宋体" w:cs="宋体"/>
                <w:kern w:val="0"/>
                <w:sz w:val="24"/>
                <w:szCs w:val="24"/>
              </w:rPr>
            </w:pPr>
          </w:p>
        </w:tc>
      </w:tr>
      <w:tr w14:paraId="03E4013C">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5" w:hRule="atLeast"/>
        </w:trPr>
        <w:tc>
          <w:tcPr>
            <w:tcW w:w="0" w:type="auto"/>
            <w:vMerge w:val="continue"/>
            <w:tcBorders>
              <w:top w:val="single" w:color="auto" w:sz="6" w:space="0"/>
              <w:left w:val="single" w:color="auto" w:sz="6" w:space="0"/>
              <w:bottom w:val="single" w:color="000000" w:sz="6" w:space="0"/>
              <w:right w:val="single" w:color="auto" w:sz="6" w:space="0"/>
            </w:tcBorders>
            <w:shd w:val="clear" w:color="auto" w:fill="auto"/>
            <w:vAlign w:val="center"/>
          </w:tcPr>
          <w:p w14:paraId="083B491E">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14:paraId="4C8CAEA2">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120A90E">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6、配置≥12个硬盘插槽；</w:t>
            </w:r>
          </w:p>
        </w:tc>
        <w:tc>
          <w:tcPr>
            <w:tcW w:w="0" w:type="auto"/>
            <w:vMerge w:val="continue"/>
            <w:tcBorders>
              <w:top w:val="nil"/>
              <w:left w:val="nil"/>
              <w:bottom w:val="single" w:color="000000" w:sz="6" w:space="0"/>
              <w:right w:val="single" w:color="auto" w:sz="6" w:space="0"/>
            </w:tcBorders>
            <w:shd w:val="clear" w:color="auto" w:fill="auto"/>
            <w:vAlign w:val="center"/>
          </w:tcPr>
          <w:p w14:paraId="29382B16">
            <w:pPr>
              <w:widowControl/>
              <w:jc w:val="left"/>
              <w:rPr>
                <w:rFonts w:ascii="宋体" w:hAnsi="宋体" w:eastAsia="宋体" w:cs="宋体"/>
                <w:kern w:val="0"/>
                <w:sz w:val="24"/>
                <w:szCs w:val="24"/>
              </w:rPr>
            </w:pPr>
          </w:p>
        </w:tc>
        <w:tc>
          <w:tcPr>
            <w:tcW w:w="0" w:type="auto"/>
            <w:vMerge w:val="continue"/>
            <w:tcBorders>
              <w:top w:val="single" w:color="auto" w:sz="6" w:space="0"/>
              <w:left w:val="nil"/>
              <w:bottom w:val="single" w:color="000000" w:sz="6" w:space="0"/>
              <w:right w:val="single" w:color="auto" w:sz="6" w:space="0"/>
            </w:tcBorders>
            <w:shd w:val="clear" w:color="auto" w:fill="auto"/>
            <w:vAlign w:val="center"/>
          </w:tcPr>
          <w:p w14:paraId="6390F94A">
            <w:pPr>
              <w:widowControl/>
              <w:jc w:val="left"/>
              <w:rPr>
                <w:rFonts w:ascii="宋体" w:hAnsi="宋体" w:eastAsia="宋体" w:cs="宋体"/>
                <w:kern w:val="0"/>
                <w:sz w:val="24"/>
                <w:szCs w:val="24"/>
              </w:rPr>
            </w:pPr>
          </w:p>
        </w:tc>
        <w:tc>
          <w:tcPr>
            <w:tcW w:w="0" w:type="auto"/>
            <w:vMerge w:val="continue"/>
            <w:tcBorders>
              <w:top w:val="single" w:color="auto" w:sz="6" w:space="0"/>
              <w:left w:val="nil"/>
              <w:bottom w:val="single" w:color="000000" w:sz="6" w:space="0"/>
              <w:right w:val="single" w:color="auto" w:sz="6" w:space="0"/>
            </w:tcBorders>
            <w:shd w:val="clear" w:color="auto" w:fill="auto"/>
            <w:vAlign w:val="center"/>
          </w:tcPr>
          <w:p w14:paraId="20B39BCF">
            <w:pPr>
              <w:widowControl/>
              <w:jc w:val="left"/>
              <w:rPr>
                <w:rFonts w:ascii="宋体" w:hAnsi="宋体" w:eastAsia="宋体" w:cs="宋体"/>
                <w:kern w:val="0"/>
                <w:sz w:val="24"/>
                <w:szCs w:val="24"/>
              </w:rPr>
            </w:pPr>
          </w:p>
        </w:tc>
        <w:tc>
          <w:tcPr>
            <w:tcW w:w="0" w:type="auto"/>
            <w:vMerge w:val="continue"/>
            <w:tcBorders>
              <w:top w:val="single" w:color="auto" w:sz="6" w:space="0"/>
              <w:left w:val="nil"/>
              <w:bottom w:val="single" w:color="000000" w:sz="6" w:space="0"/>
              <w:right w:val="single" w:color="auto" w:sz="6" w:space="0"/>
            </w:tcBorders>
            <w:shd w:val="clear" w:color="auto" w:fill="auto"/>
            <w:vAlign w:val="center"/>
          </w:tcPr>
          <w:p w14:paraId="7CD88E87">
            <w:pPr>
              <w:widowControl/>
              <w:jc w:val="left"/>
              <w:rPr>
                <w:rFonts w:ascii="宋体" w:hAnsi="宋体" w:eastAsia="宋体" w:cs="宋体"/>
                <w:kern w:val="0"/>
                <w:sz w:val="24"/>
                <w:szCs w:val="24"/>
              </w:rPr>
            </w:pPr>
          </w:p>
        </w:tc>
      </w:tr>
      <w:tr w14:paraId="164E0F01">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5" w:hRule="atLeast"/>
        </w:trPr>
        <w:tc>
          <w:tcPr>
            <w:tcW w:w="0" w:type="auto"/>
            <w:vMerge w:val="continue"/>
            <w:tcBorders>
              <w:top w:val="single" w:color="auto" w:sz="6" w:space="0"/>
              <w:left w:val="single" w:color="auto" w:sz="6" w:space="0"/>
              <w:bottom w:val="single" w:color="000000" w:sz="6" w:space="0"/>
              <w:right w:val="single" w:color="auto" w:sz="6" w:space="0"/>
            </w:tcBorders>
            <w:shd w:val="clear" w:color="auto" w:fill="auto"/>
            <w:vAlign w:val="center"/>
          </w:tcPr>
          <w:p w14:paraId="5996BA65">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14:paraId="59847734">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37FC22C">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7、配置≥4*GE电口，4*10GE光口，满配多模光模块；</w:t>
            </w:r>
          </w:p>
        </w:tc>
        <w:tc>
          <w:tcPr>
            <w:tcW w:w="0" w:type="auto"/>
            <w:vMerge w:val="continue"/>
            <w:tcBorders>
              <w:top w:val="nil"/>
              <w:left w:val="nil"/>
              <w:bottom w:val="single" w:color="000000" w:sz="6" w:space="0"/>
              <w:right w:val="single" w:color="auto" w:sz="6" w:space="0"/>
            </w:tcBorders>
            <w:shd w:val="clear" w:color="auto" w:fill="auto"/>
            <w:vAlign w:val="center"/>
          </w:tcPr>
          <w:p w14:paraId="3BF124B9">
            <w:pPr>
              <w:widowControl/>
              <w:jc w:val="left"/>
              <w:rPr>
                <w:rFonts w:ascii="宋体" w:hAnsi="宋体" w:eastAsia="宋体" w:cs="宋体"/>
                <w:kern w:val="0"/>
                <w:sz w:val="24"/>
                <w:szCs w:val="24"/>
              </w:rPr>
            </w:pPr>
          </w:p>
        </w:tc>
        <w:tc>
          <w:tcPr>
            <w:tcW w:w="0" w:type="auto"/>
            <w:vMerge w:val="continue"/>
            <w:tcBorders>
              <w:top w:val="single" w:color="auto" w:sz="6" w:space="0"/>
              <w:left w:val="nil"/>
              <w:bottom w:val="single" w:color="000000" w:sz="6" w:space="0"/>
              <w:right w:val="single" w:color="auto" w:sz="6" w:space="0"/>
            </w:tcBorders>
            <w:shd w:val="clear" w:color="auto" w:fill="auto"/>
            <w:vAlign w:val="center"/>
          </w:tcPr>
          <w:p w14:paraId="1308AEF5">
            <w:pPr>
              <w:widowControl/>
              <w:jc w:val="left"/>
              <w:rPr>
                <w:rFonts w:ascii="宋体" w:hAnsi="宋体" w:eastAsia="宋体" w:cs="宋体"/>
                <w:kern w:val="0"/>
                <w:sz w:val="24"/>
                <w:szCs w:val="24"/>
              </w:rPr>
            </w:pPr>
          </w:p>
        </w:tc>
        <w:tc>
          <w:tcPr>
            <w:tcW w:w="0" w:type="auto"/>
            <w:vMerge w:val="continue"/>
            <w:tcBorders>
              <w:top w:val="single" w:color="auto" w:sz="6" w:space="0"/>
              <w:left w:val="nil"/>
              <w:bottom w:val="single" w:color="000000" w:sz="6" w:space="0"/>
              <w:right w:val="single" w:color="auto" w:sz="6" w:space="0"/>
            </w:tcBorders>
            <w:shd w:val="clear" w:color="auto" w:fill="auto"/>
            <w:vAlign w:val="center"/>
          </w:tcPr>
          <w:p w14:paraId="1F3F9752">
            <w:pPr>
              <w:widowControl/>
              <w:jc w:val="left"/>
              <w:rPr>
                <w:rFonts w:ascii="宋体" w:hAnsi="宋体" w:eastAsia="宋体" w:cs="宋体"/>
                <w:kern w:val="0"/>
                <w:sz w:val="24"/>
                <w:szCs w:val="24"/>
              </w:rPr>
            </w:pPr>
          </w:p>
        </w:tc>
        <w:tc>
          <w:tcPr>
            <w:tcW w:w="0" w:type="auto"/>
            <w:vMerge w:val="continue"/>
            <w:tcBorders>
              <w:top w:val="single" w:color="auto" w:sz="6" w:space="0"/>
              <w:left w:val="nil"/>
              <w:bottom w:val="single" w:color="000000" w:sz="6" w:space="0"/>
              <w:right w:val="single" w:color="auto" w:sz="6" w:space="0"/>
            </w:tcBorders>
            <w:shd w:val="clear" w:color="auto" w:fill="auto"/>
            <w:vAlign w:val="center"/>
          </w:tcPr>
          <w:p w14:paraId="341CA678">
            <w:pPr>
              <w:widowControl/>
              <w:jc w:val="left"/>
              <w:rPr>
                <w:rFonts w:ascii="宋体" w:hAnsi="宋体" w:eastAsia="宋体" w:cs="宋体"/>
                <w:kern w:val="0"/>
                <w:sz w:val="24"/>
                <w:szCs w:val="24"/>
              </w:rPr>
            </w:pPr>
          </w:p>
        </w:tc>
      </w:tr>
      <w:tr w14:paraId="1F976A94">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5" w:hRule="atLeast"/>
        </w:trPr>
        <w:tc>
          <w:tcPr>
            <w:tcW w:w="0" w:type="auto"/>
            <w:vMerge w:val="continue"/>
            <w:tcBorders>
              <w:top w:val="single" w:color="auto" w:sz="6" w:space="0"/>
              <w:left w:val="single" w:color="auto" w:sz="6" w:space="0"/>
              <w:bottom w:val="single" w:color="000000" w:sz="6" w:space="0"/>
              <w:right w:val="single" w:color="auto" w:sz="6" w:space="0"/>
            </w:tcBorders>
            <w:shd w:val="clear" w:color="auto" w:fill="auto"/>
            <w:vAlign w:val="center"/>
          </w:tcPr>
          <w:p w14:paraId="1C918B6D">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14:paraId="34C7E1A1">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5DB47A3">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8、提供功能全面的图形化GUI管理界面。</w:t>
            </w:r>
          </w:p>
        </w:tc>
        <w:tc>
          <w:tcPr>
            <w:tcW w:w="0" w:type="auto"/>
            <w:vMerge w:val="continue"/>
            <w:tcBorders>
              <w:top w:val="nil"/>
              <w:left w:val="nil"/>
              <w:bottom w:val="single" w:color="000000" w:sz="6" w:space="0"/>
              <w:right w:val="single" w:color="auto" w:sz="6" w:space="0"/>
            </w:tcBorders>
            <w:shd w:val="clear" w:color="auto" w:fill="auto"/>
            <w:vAlign w:val="center"/>
          </w:tcPr>
          <w:p w14:paraId="7EDED964">
            <w:pPr>
              <w:widowControl/>
              <w:jc w:val="left"/>
              <w:rPr>
                <w:rFonts w:ascii="宋体" w:hAnsi="宋体" w:eastAsia="宋体" w:cs="宋体"/>
                <w:kern w:val="0"/>
                <w:sz w:val="24"/>
                <w:szCs w:val="24"/>
              </w:rPr>
            </w:pPr>
          </w:p>
        </w:tc>
        <w:tc>
          <w:tcPr>
            <w:tcW w:w="0" w:type="auto"/>
            <w:vMerge w:val="continue"/>
            <w:tcBorders>
              <w:top w:val="single" w:color="auto" w:sz="6" w:space="0"/>
              <w:left w:val="nil"/>
              <w:bottom w:val="single" w:color="000000" w:sz="6" w:space="0"/>
              <w:right w:val="single" w:color="auto" w:sz="6" w:space="0"/>
            </w:tcBorders>
            <w:shd w:val="clear" w:color="auto" w:fill="auto"/>
            <w:vAlign w:val="center"/>
          </w:tcPr>
          <w:p w14:paraId="4F713652">
            <w:pPr>
              <w:widowControl/>
              <w:jc w:val="left"/>
              <w:rPr>
                <w:rFonts w:ascii="宋体" w:hAnsi="宋体" w:eastAsia="宋体" w:cs="宋体"/>
                <w:kern w:val="0"/>
                <w:sz w:val="24"/>
                <w:szCs w:val="24"/>
              </w:rPr>
            </w:pPr>
          </w:p>
        </w:tc>
        <w:tc>
          <w:tcPr>
            <w:tcW w:w="0" w:type="auto"/>
            <w:vMerge w:val="continue"/>
            <w:tcBorders>
              <w:top w:val="single" w:color="auto" w:sz="6" w:space="0"/>
              <w:left w:val="nil"/>
              <w:bottom w:val="single" w:color="000000" w:sz="6" w:space="0"/>
              <w:right w:val="single" w:color="auto" w:sz="6" w:space="0"/>
            </w:tcBorders>
            <w:shd w:val="clear" w:color="auto" w:fill="auto"/>
            <w:vAlign w:val="center"/>
          </w:tcPr>
          <w:p w14:paraId="653192F9">
            <w:pPr>
              <w:widowControl/>
              <w:jc w:val="left"/>
              <w:rPr>
                <w:rFonts w:ascii="宋体" w:hAnsi="宋体" w:eastAsia="宋体" w:cs="宋体"/>
                <w:kern w:val="0"/>
                <w:sz w:val="24"/>
                <w:szCs w:val="24"/>
              </w:rPr>
            </w:pPr>
          </w:p>
        </w:tc>
        <w:tc>
          <w:tcPr>
            <w:tcW w:w="0" w:type="auto"/>
            <w:vMerge w:val="continue"/>
            <w:tcBorders>
              <w:top w:val="single" w:color="auto" w:sz="6" w:space="0"/>
              <w:left w:val="nil"/>
              <w:bottom w:val="single" w:color="000000" w:sz="6" w:space="0"/>
              <w:right w:val="single" w:color="auto" w:sz="6" w:space="0"/>
            </w:tcBorders>
            <w:shd w:val="clear" w:color="auto" w:fill="auto"/>
            <w:vAlign w:val="center"/>
          </w:tcPr>
          <w:p w14:paraId="7AFF178E">
            <w:pPr>
              <w:widowControl/>
              <w:jc w:val="left"/>
              <w:rPr>
                <w:rFonts w:ascii="宋体" w:hAnsi="宋体" w:eastAsia="宋体" w:cs="宋体"/>
                <w:kern w:val="0"/>
                <w:sz w:val="24"/>
                <w:szCs w:val="24"/>
              </w:rPr>
            </w:pPr>
          </w:p>
        </w:tc>
      </w:tr>
      <w:tr w14:paraId="59889F71">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5" w:hRule="atLeast"/>
        </w:trPr>
        <w:tc>
          <w:tcPr>
            <w:tcW w:w="0" w:type="auto"/>
            <w:vMerge w:val="continue"/>
            <w:tcBorders>
              <w:top w:val="single" w:color="auto" w:sz="6" w:space="0"/>
              <w:left w:val="single" w:color="auto" w:sz="6" w:space="0"/>
              <w:bottom w:val="single" w:color="000000" w:sz="6" w:space="0"/>
              <w:right w:val="single" w:color="auto" w:sz="6" w:space="0"/>
            </w:tcBorders>
            <w:shd w:val="clear" w:color="auto" w:fill="auto"/>
            <w:vAlign w:val="center"/>
          </w:tcPr>
          <w:p w14:paraId="11E513BF">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14:paraId="0B4A9E71">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AAB0E3B">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9、配置≥10*1.92TB     SSD硬盘；</w:t>
            </w:r>
          </w:p>
        </w:tc>
        <w:tc>
          <w:tcPr>
            <w:tcW w:w="0" w:type="auto"/>
            <w:vMerge w:val="continue"/>
            <w:tcBorders>
              <w:top w:val="nil"/>
              <w:left w:val="nil"/>
              <w:bottom w:val="single" w:color="000000" w:sz="6" w:space="0"/>
              <w:right w:val="single" w:color="auto" w:sz="6" w:space="0"/>
            </w:tcBorders>
            <w:shd w:val="clear" w:color="auto" w:fill="auto"/>
            <w:vAlign w:val="center"/>
          </w:tcPr>
          <w:p w14:paraId="5D888072">
            <w:pPr>
              <w:widowControl/>
              <w:jc w:val="left"/>
              <w:rPr>
                <w:rFonts w:ascii="宋体" w:hAnsi="宋体" w:eastAsia="宋体" w:cs="宋体"/>
                <w:kern w:val="0"/>
                <w:sz w:val="24"/>
                <w:szCs w:val="24"/>
              </w:rPr>
            </w:pPr>
          </w:p>
        </w:tc>
        <w:tc>
          <w:tcPr>
            <w:tcW w:w="0" w:type="auto"/>
            <w:vMerge w:val="continue"/>
            <w:tcBorders>
              <w:top w:val="single" w:color="auto" w:sz="6" w:space="0"/>
              <w:left w:val="nil"/>
              <w:bottom w:val="single" w:color="000000" w:sz="6" w:space="0"/>
              <w:right w:val="single" w:color="auto" w:sz="6" w:space="0"/>
            </w:tcBorders>
            <w:shd w:val="clear" w:color="auto" w:fill="auto"/>
            <w:vAlign w:val="center"/>
          </w:tcPr>
          <w:p w14:paraId="2F6FE6D0">
            <w:pPr>
              <w:widowControl/>
              <w:jc w:val="left"/>
              <w:rPr>
                <w:rFonts w:ascii="宋体" w:hAnsi="宋体" w:eastAsia="宋体" w:cs="宋体"/>
                <w:kern w:val="0"/>
                <w:sz w:val="24"/>
                <w:szCs w:val="24"/>
              </w:rPr>
            </w:pPr>
          </w:p>
        </w:tc>
        <w:tc>
          <w:tcPr>
            <w:tcW w:w="0" w:type="auto"/>
            <w:vMerge w:val="continue"/>
            <w:tcBorders>
              <w:top w:val="single" w:color="auto" w:sz="6" w:space="0"/>
              <w:left w:val="nil"/>
              <w:bottom w:val="single" w:color="000000" w:sz="6" w:space="0"/>
              <w:right w:val="single" w:color="auto" w:sz="6" w:space="0"/>
            </w:tcBorders>
            <w:shd w:val="clear" w:color="auto" w:fill="auto"/>
            <w:vAlign w:val="center"/>
          </w:tcPr>
          <w:p w14:paraId="3009ADE4">
            <w:pPr>
              <w:widowControl/>
              <w:jc w:val="left"/>
              <w:rPr>
                <w:rFonts w:ascii="宋体" w:hAnsi="宋体" w:eastAsia="宋体" w:cs="宋体"/>
                <w:kern w:val="0"/>
                <w:sz w:val="24"/>
                <w:szCs w:val="24"/>
              </w:rPr>
            </w:pPr>
          </w:p>
        </w:tc>
        <w:tc>
          <w:tcPr>
            <w:tcW w:w="0" w:type="auto"/>
            <w:vMerge w:val="continue"/>
            <w:tcBorders>
              <w:top w:val="single" w:color="auto" w:sz="6" w:space="0"/>
              <w:left w:val="nil"/>
              <w:bottom w:val="single" w:color="000000" w:sz="6" w:space="0"/>
              <w:right w:val="single" w:color="auto" w:sz="6" w:space="0"/>
            </w:tcBorders>
            <w:shd w:val="clear" w:color="auto" w:fill="auto"/>
            <w:vAlign w:val="center"/>
          </w:tcPr>
          <w:p w14:paraId="6C32B995">
            <w:pPr>
              <w:widowControl/>
              <w:jc w:val="left"/>
              <w:rPr>
                <w:rFonts w:ascii="宋体" w:hAnsi="宋体" w:eastAsia="宋体" w:cs="宋体"/>
                <w:kern w:val="0"/>
                <w:sz w:val="24"/>
                <w:szCs w:val="24"/>
              </w:rPr>
            </w:pPr>
          </w:p>
        </w:tc>
      </w:tr>
      <w:tr w14:paraId="124129B0">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5" w:hRule="atLeast"/>
        </w:trPr>
        <w:tc>
          <w:tcPr>
            <w:tcW w:w="0" w:type="auto"/>
            <w:vMerge w:val="continue"/>
            <w:tcBorders>
              <w:top w:val="single" w:color="auto" w:sz="6" w:space="0"/>
              <w:left w:val="single" w:color="auto" w:sz="6" w:space="0"/>
              <w:bottom w:val="single" w:color="000000" w:sz="6" w:space="0"/>
              <w:right w:val="single" w:color="auto" w:sz="6" w:space="0"/>
            </w:tcBorders>
            <w:shd w:val="clear" w:color="auto" w:fill="auto"/>
            <w:vAlign w:val="center"/>
          </w:tcPr>
          <w:p w14:paraId="490CBB98">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14:paraId="300BDBBD">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4D0B01E">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14:paraId="675DAD70">
            <w:pPr>
              <w:widowControl/>
              <w:jc w:val="left"/>
              <w:rPr>
                <w:rFonts w:ascii="宋体" w:hAnsi="宋体" w:eastAsia="宋体" w:cs="宋体"/>
                <w:kern w:val="0"/>
                <w:sz w:val="24"/>
                <w:szCs w:val="24"/>
              </w:rPr>
            </w:pPr>
          </w:p>
        </w:tc>
        <w:tc>
          <w:tcPr>
            <w:tcW w:w="0" w:type="auto"/>
            <w:vMerge w:val="continue"/>
            <w:tcBorders>
              <w:top w:val="single" w:color="auto" w:sz="6" w:space="0"/>
              <w:left w:val="nil"/>
              <w:bottom w:val="single" w:color="000000" w:sz="6" w:space="0"/>
              <w:right w:val="single" w:color="auto" w:sz="6" w:space="0"/>
            </w:tcBorders>
            <w:shd w:val="clear" w:color="auto" w:fill="auto"/>
            <w:vAlign w:val="center"/>
          </w:tcPr>
          <w:p w14:paraId="45535BA2">
            <w:pPr>
              <w:widowControl/>
              <w:jc w:val="left"/>
              <w:rPr>
                <w:rFonts w:ascii="宋体" w:hAnsi="宋体" w:eastAsia="宋体" w:cs="宋体"/>
                <w:kern w:val="0"/>
                <w:sz w:val="24"/>
                <w:szCs w:val="24"/>
              </w:rPr>
            </w:pPr>
          </w:p>
        </w:tc>
        <w:tc>
          <w:tcPr>
            <w:tcW w:w="0" w:type="auto"/>
            <w:vMerge w:val="continue"/>
            <w:tcBorders>
              <w:top w:val="single" w:color="auto" w:sz="6" w:space="0"/>
              <w:left w:val="nil"/>
              <w:bottom w:val="single" w:color="000000" w:sz="6" w:space="0"/>
              <w:right w:val="single" w:color="auto" w:sz="6" w:space="0"/>
            </w:tcBorders>
            <w:shd w:val="clear" w:color="auto" w:fill="auto"/>
            <w:vAlign w:val="center"/>
          </w:tcPr>
          <w:p w14:paraId="2D6B469A">
            <w:pPr>
              <w:widowControl/>
              <w:jc w:val="left"/>
              <w:rPr>
                <w:rFonts w:ascii="宋体" w:hAnsi="宋体" w:eastAsia="宋体" w:cs="宋体"/>
                <w:kern w:val="0"/>
                <w:sz w:val="24"/>
                <w:szCs w:val="24"/>
              </w:rPr>
            </w:pPr>
          </w:p>
        </w:tc>
        <w:tc>
          <w:tcPr>
            <w:tcW w:w="0" w:type="auto"/>
            <w:vMerge w:val="continue"/>
            <w:tcBorders>
              <w:top w:val="single" w:color="auto" w:sz="6" w:space="0"/>
              <w:left w:val="nil"/>
              <w:bottom w:val="single" w:color="000000" w:sz="6" w:space="0"/>
              <w:right w:val="single" w:color="auto" w:sz="6" w:space="0"/>
            </w:tcBorders>
            <w:shd w:val="clear" w:color="auto" w:fill="auto"/>
            <w:vAlign w:val="center"/>
          </w:tcPr>
          <w:p w14:paraId="63385455">
            <w:pPr>
              <w:widowControl/>
              <w:jc w:val="left"/>
              <w:rPr>
                <w:rFonts w:ascii="宋体" w:hAnsi="宋体" w:eastAsia="宋体" w:cs="宋体"/>
                <w:kern w:val="0"/>
                <w:sz w:val="24"/>
                <w:szCs w:val="24"/>
              </w:rPr>
            </w:pPr>
          </w:p>
        </w:tc>
      </w:tr>
    </w:tbl>
    <w:p w14:paraId="5A55156E">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b/>
          <w:bCs/>
          <w:kern w:val="0"/>
          <w:sz w:val="24"/>
          <w:szCs w:val="24"/>
        </w:rPr>
        <w:t>性能提升要求</w:t>
      </w:r>
    </w:p>
    <w:p w14:paraId="054A92FC">
      <w:pPr>
        <w:widowControl/>
        <w:spacing w:after="150" w:line="300" w:lineRule="atLeast"/>
        <w:jc w:val="left"/>
        <w:rPr>
          <w:rFonts w:ascii="宋体" w:hAnsi="宋体" w:eastAsia="宋体" w:cs="宋体"/>
          <w:kern w:val="0"/>
          <w:sz w:val="24"/>
          <w:szCs w:val="24"/>
        </w:rPr>
      </w:pPr>
      <w:r>
        <w:rPr>
          <w:rFonts w:hint="eastAsia" w:ascii="宋体" w:hAnsi="宋体" w:eastAsia="宋体" w:cs="宋体"/>
          <w:kern w:val="0"/>
          <w:sz w:val="24"/>
          <w:szCs w:val="24"/>
        </w:rPr>
        <w:t>数据库服务器高性能计算节点、数据库服务器计算节点A、数据库服务器高性能存储节点、数据库服务器存储节点性能提升要求如下：</w:t>
      </w:r>
    </w:p>
    <w:p w14:paraId="791E6790">
      <w:pPr>
        <w:widowControl/>
        <w:spacing w:after="150" w:line="300" w:lineRule="atLeast"/>
        <w:jc w:val="left"/>
        <w:rPr>
          <w:rFonts w:ascii="宋体" w:hAnsi="宋体" w:eastAsia="宋体" w:cs="宋体"/>
          <w:kern w:val="0"/>
          <w:sz w:val="24"/>
          <w:szCs w:val="24"/>
        </w:rPr>
      </w:pPr>
      <w:r>
        <w:rPr>
          <w:rFonts w:hint="eastAsia" w:ascii="宋体" w:hAnsi="宋体" w:eastAsia="宋体" w:cs="宋体"/>
          <w:kern w:val="0"/>
          <w:sz w:val="24"/>
          <w:szCs w:val="24"/>
        </w:rPr>
        <w:t>▲1、服务器支持内存管理功能：（1）内存条具备内存巡检、内存地址奇偶检测保护或ECC保护、内存过热调节等功能，提供厂家官网链接和投标人盖章的产品说明书。（2）内存条具备多位纠错技术、单内存芯片数据纠错、高级内存恢复技术、双设备数据更正等技术，提供厂家官网链接和投标人盖章的产品说明书。要求至少满足（1）或（2）其中1项。</w:t>
      </w:r>
    </w:p>
    <w:p w14:paraId="34C0CBED">
      <w:pPr>
        <w:widowControl/>
        <w:spacing w:after="150" w:line="300" w:lineRule="atLeast"/>
        <w:jc w:val="left"/>
        <w:rPr>
          <w:rFonts w:ascii="宋体" w:hAnsi="宋体" w:eastAsia="宋体" w:cs="宋体"/>
          <w:kern w:val="0"/>
          <w:sz w:val="24"/>
          <w:szCs w:val="24"/>
        </w:rPr>
      </w:pPr>
      <w:r>
        <w:rPr>
          <w:rFonts w:hint="eastAsia" w:ascii="宋体" w:hAnsi="宋体" w:eastAsia="宋体" w:cs="宋体"/>
          <w:kern w:val="0"/>
          <w:sz w:val="24"/>
          <w:szCs w:val="24"/>
        </w:rPr>
        <w:t>▲2、服务器支持带外故障检测：（1）服务器具备带外故障检测功能，支持定位到具体部件，通过视图清晰展示服务器每个部件运行状态和故障信息，提供厂家官网链接和投标人盖章的技术白皮书。（2）服务器具备对设备告警的统一管理，支持多样化告警通知方式，至少包括SNMP、邮件、短信、语音和微信告警 (提供官网公开链接及截图证明，并加盖投标人公章)。要求至少满足（1）或（2）其中1项。</w:t>
      </w:r>
    </w:p>
    <w:p w14:paraId="7C5F2AC3">
      <w:pPr>
        <w:widowControl/>
        <w:spacing w:after="150" w:line="300" w:lineRule="atLeast"/>
        <w:jc w:val="left"/>
        <w:rPr>
          <w:rFonts w:ascii="宋体" w:hAnsi="宋体" w:eastAsia="宋体" w:cs="宋体"/>
          <w:kern w:val="0"/>
          <w:sz w:val="24"/>
          <w:szCs w:val="24"/>
        </w:rPr>
      </w:pPr>
      <w:r>
        <w:rPr>
          <w:rFonts w:hint="eastAsia" w:ascii="宋体" w:hAnsi="宋体" w:eastAsia="宋体" w:cs="宋体"/>
          <w:kern w:val="0"/>
          <w:sz w:val="24"/>
          <w:szCs w:val="24"/>
        </w:rPr>
        <w:t>■3、服务器支持PCIe防护模块，支持防火墙、IPS和防病毒功能；(提供官网公开链接及截图证明，并加盖投标人公章)</w:t>
      </w:r>
    </w:p>
    <w:p w14:paraId="1780CA6C">
      <w:pPr>
        <w:widowControl/>
        <w:spacing w:after="150" w:line="300" w:lineRule="atLeast"/>
        <w:jc w:val="left"/>
        <w:rPr>
          <w:rFonts w:ascii="宋体" w:hAnsi="宋体" w:eastAsia="宋体" w:cs="宋体"/>
          <w:kern w:val="0"/>
          <w:sz w:val="24"/>
          <w:szCs w:val="24"/>
        </w:rPr>
      </w:pPr>
      <w:r>
        <w:rPr>
          <w:rFonts w:hint="eastAsia" w:ascii="宋体" w:hAnsi="宋体" w:eastAsia="宋体" w:cs="宋体"/>
          <w:kern w:val="0"/>
          <w:sz w:val="24"/>
          <w:szCs w:val="24"/>
        </w:rPr>
        <w:t>■4、服务器支持5-50°C的标准工作温度；(提供官网公开链接及截图证明，并加盖投标人公章）</w:t>
      </w:r>
    </w:p>
    <w:p w14:paraId="17A06B9F">
      <w:pPr>
        <w:widowControl/>
        <w:spacing w:after="150" w:line="300" w:lineRule="atLeast"/>
        <w:jc w:val="left"/>
        <w:rPr>
          <w:rFonts w:ascii="宋体" w:hAnsi="宋体" w:eastAsia="宋体" w:cs="宋体"/>
          <w:kern w:val="0"/>
          <w:sz w:val="24"/>
          <w:szCs w:val="24"/>
        </w:rPr>
      </w:pPr>
      <w:r>
        <w:rPr>
          <w:rFonts w:hint="eastAsia" w:ascii="宋体" w:hAnsi="宋体" w:eastAsia="宋体" w:cs="宋体"/>
          <w:kern w:val="0"/>
          <w:sz w:val="24"/>
          <w:szCs w:val="24"/>
        </w:rPr>
        <w:t>▲5、为了提升服务器的防震性能，所投设备需通过9级烈度抗震性能检测标准；（提供获得CMA或CNAS资质的检测机构出具的测试报告证明复印件，并加盖投标人公章）</w:t>
      </w:r>
    </w:p>
    <w:p w14:paraId="43C0CCB9">
      <w:pPr>
        <w:widowControl/>
        <w:spacing w:after="150" w:line="300" w:lineRule="atLeast"/>
        <w:jc w:val="left"/>
        <w:rPr>
          <w:rFonts w:ascii="宋体" w:hAnsi="宋体" w:eastAsia="宋体" w:cs="宋体"/>
          <w:kern w:val="0"/>
          <w:sz w:val="24"/>
          <w:szCs w:val="24"/>
        </w:rPr>
      </w:pPr>
      <w:r>
        <w:rPr>
          <w:rFonts w:hint="eastAsia" w:ascii="宋体" w:hAnsi="宋体" w:eastAsia="宋体" w:cs="宋体"/>
          <w:kern w:val="0"/>
          <w:sz w:val="24"/>
          <w:szCs w:val="24"/>
        </w:rPr>
        <w:t>■6、支持≥6个热拔插风扇；（提供投标设备拆机图及官网链接证明，标示风扇位置和数量）</w:t>
      </w:r>
    </w:p>
    <w:p w14:paraId="5F3F735F">
      <w:pPr>
        <w:widowControl/>
        <w:spacing w:after="150" w:line="300" w:lineRule="atLeast"/>
        <w:jc w:val="left"/>
        <w:rPr>
          <w:rFonts w:ascii="宋体" w:hAnsi="宋体" w:eastAsia="宋体" w:cs="宋体"/>
          <w:kern w:val="0"/>
          <w:sz w:val="24"/>
          <w:szCs w:val="24"/>
        </w:rPr>
      </w:pPr>
      <w:r>
        <w:rPr>
          <w:rFonts w:hint="eastAsia" w:ascii="宋体" w:hAnsi="宋体" w:eastAsia="宋体" w:cs="宋体"/>
          <w:kern w:val="0"/>
          <w:sz w:val="24"/>
          <w:szCs w:val="24"/>
        </w:rPr>
        <w:t>▲7、兼容现有网络核心区分布式数据库软件；(所投服务器型号需在现网已购核心区分布式数据库厂家兼容性列表上，或提供现有网络核心区分布式数据库厂家出具的兼容性证明材料)</w:t>
      </w:r>
    </w:p>
    <w:p w14:paraId="2044D893">
      <w:pPr>
        <w:widowControl/>
        <w:spacing w:after="150" w:line="300" w:lineRule="atLeast"/>
        <w:jc w:val="left"/>
        <w:rPr>
          <w:rFonts w:ascii="宋体" w:hAnsi="宋体" w:eastAsia="宋体" w:cs="宋体"/>
          <w:kern w:val="0"/>
          <w:sz w:val="24"/>
          <w:szCs w:val="24"/>
        </w:rPr>
      </w:pPr>
      <w:r>
        <w:rPr>
          <w:rFonts w:hint="eastAsia" w:ascii="宋体" w:hAnsi="宋体" w:eastAsia="宋体" w:cs="宋体"/>
          <w:kern w:val="0"/>
          <w:sz w:val="24"/>
          <w:szCs w:val="24"/>
        </w:rPr>
        <w:t> </w:t>
      </w:r>
    </w:p>
    <w:p w14:paraId="1273737C">
      <w:pPr>
        <w:widowControl/>
        <w:spacing w:before="300" w:after="150"/>
        <w:jc w:val="left"/>
        <w:rPr>
          <w:rFonts w:ascii="宋体" w:hAnsi="宋体" w:eastAsia="宋体" w:cs="宋体"/>
          <w:kern w:val="0"/>
          <w:sz w:val="24"/>
          <w:szCs w:val="24"/>
        </w:rPr>
      </w:pPr>
      <w:r>
        <w:rPr>
          <w:rFonts w:hint="eastAsia" w:ascii="宋体" w:hAnsi="宋体" w:eastAsia="宋体" w:cs="宋体"/>
          <w:kern w:val="0"/>
          <w:sz w:val="24"/>
          <w:szCs w:val="24"/>
        </w:rPr>
        <w:t>1.3.2 分布式数据库软件</w:t>
      </w:r>
    </w:p>
    <w:p w14:paraId="7ABD437D">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b/>
          <w:bCs/>
          <w:kern w:val="0"/>
          <w:sz w:val="24"/>
          <w:szCs w:val="24"/>
        </w:rPr>
        <w:t>基础规格参数</w:t>
      </w:r>
    </w:p>
    <w:tbl>
      <w:tblPr>
        <w:tblStyle w:val="9"/>
        <w:tblW w:w="0" w:type="auto"/>
        <w:tblInd w:w="0" w:type="dxa"/>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467"/>
        <w:gridCol w:w="632"/>
        <w:gridCol w:w="4162"/>
        <w:gridCol w:w="467"/>
        <w:gridCol w:w="1165"/>
        <w:gridCol w:w="1165"/>
        <w:gridCol w:w="458"/>
      </w:tblGrid>
      <w:tr w14:paraId="7779F816">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0" w:type="auto"/>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22DAB1E">
            <w:pPr>
              <w:widowControl/>
              <w:spacing w:after="150"/>
              <w:jc w:val="center"/>
              <w:rPr>
                <w:rFonts w:ascii="宋体" w:hAnsi="宋体" w:eastAsia="宋体" w:cs="宋体"/>
                <w:kern w:val="0"/>
                <w:sz w:val="24"/>
                <w:szCs w:val="24"/>
              </w:rPr>
            </w:pPr>
            <w:r>
              <w:rPr>
                <w:rFonts w:hint="eastAsia" w:ascii="宋体" w:hAnsi="宋体" w:eastAsia="宋体" w:cs="宋体"/>
                <w:b/>
                <w:bCs/>
                <w:color w:val="000000"/>
                <w:kern w:val="0"/>
                <w:sz w:val="23"/>
                <w:szCs w:val="23"/>
              </w:rPr>
              <w:t>序号</w:t>
            </w:r>
          </w:p>
        </w:tc>
        <w:tc>
          <w:tcPr>
            <w:tcW w:w="0" w:type="auto"/>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0CEF318">
            <w:pPr>
              <w:widowControl/>
              <w:spacing w:after="150"/>
              <w:jc w:val="center"/>
              <w:rPr>
                <w:rFonts w:ascii="宋体" w:hAnsi="宋体" w:eastAsia="宋体" w:cs="宋体"/>
                <w:kern w:val="0"/>
                <w:sz w:val="24"/>
                <w:szCs w:val="24"/>
              </w:rPr>
            </w:pPr>
            <w:r>
              <w:rPr>
                <w:rFonts w:hint="eastAsia" w:ascii="宋体" w:hAnsi="宋体" w:eastAsia="宋体" w:cs="宋体"/>
                <w:b/>
                <w:bCs/>
                <w:color w:val="000000"/>
                <w:kern w:val="0"/>
                <w:sz w:val="23"/>
                <w:szCs w:val="23"/>
              </w:rPr>
              <w:t>名 称</w:t>
            </w:r>
          </w:p>
        </w:tc>
        <w:tc>
          <w:tcPr>
            <w:tcW w:w="0" w:type="auto"/>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2D0DF09">
            <w:pPr>
              <w:widowControl/>
              <w:spacing w:after="150"/>
              <w:jc w:val="center"/>
              <w:rPr>
                <w:rFonts w:ascii="宋体" w:hAnsi="宋体" w:eastAsia="宋体" w:cs="宋体"/>
                <w:kern w:val="0"/>
                <w:sz w:val="24"/>
                <w:szCs w:val="24"/>
              </w:rPr>
            </w:pPr>
            <w:r>
              <w:rPr>
                <w:rFonts w:hint="eastAsia" w:ascii="宋体" w:hAnsi="宋体" w:eastAsia="宋体" w:cs="宋体"/>
                <w:b/>
                <w:bCs/>
                <w:color w:val="000000"/>
                <w:kern w:val="0"/>
                <w:sz w:val="23"/>
                <w:szCs w:val="23"/>
              </w:rPr>
              <w:t>基础规格参数</w:t>
            </w:r>
          </w:p>
        </w:tc>
        <w:tc>
          <w:tcPr>
            <w:tcW w:w="0" w:type="auto"/>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A09B95D">
            <w:pPr>
              <w:widowControl/>
              <w:spacing w:after="150"/>
              <w:jc w:val="center"/>
              <w:rPr>
                <w:rFonts w:ascii="宋体" w:hAnsi="宋体" w:eastAsia="宋体" w:cs="宋体"/>
                <w:kern w:val="0"/>
                <w:sz w:val="24"/>
                <w:szCs w:val="24"/>
              </w:rPr>
            </w:pPr>
            <w:r>
              <w:rPr>
                <w:rFonts w:hint="eastAsia" w:ascii="宋体" w:hAnsi="宋体" w:eastAsia="宋体" w:cs="宋体"/>
                <w:b/>
                <w:bCs/>
                <w:color w:val="000000"/>
                <w:kern w:val="0"/>
                <w:sz w:val="23"/>
                <w:szCs w:val="23"/>
              </w:rPr>
              <w:t>单位</w:t>
            </w:r>
          </w:p>
        </w:tc>
        <w:tc>
          <w:tcPr>
            <w:tcW w:w="0" w:type="auto"/>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7A696D0">
            <w:pPr>
              <w:widowControl/>
              <w:spacing w:after="150"/>
              <w:jc w:val="center"/>
              <w:rPr>
                <w:rFonts w:ascii="宋体" w:hAnsi="宋体" w:eastAsia="宋体" w:cs="宋体"/>
                <w:kern w:val="0"/>
                <w:sz w:val="24"/>
                <w:szCs w:val="24"/>
              </w:rPr>
            </w:pPr>
            <w:r>
              <w:rPr>
                <w:rFonts w:hint="eastAsia" w:ascii="宋体" w:hAnsi="宋体" w:eastAsia="宋体" w:cs="宋体"/>
                <w:b/>
                <w:bCs/>
                <w:color w:val="000000"/>
                <w:kern w:val="0"/>
                <w:sz w:val="23"/>
                <w:szCs w:val="23"/>
              </w:rPr>
              <w:t>数据</w:t>
            </w:r>
            <w:r>
              <w:rPr>
                <w:rFonts w:hint="eastAsia" w:ascii="宋体" w:hAnsi="宋体" w:eastAsia="宋体" w:cs="宋体"/>
                <w:b/>
                <w:bCs/>
                <w:color w:val="000000"/>
                <w:kern w:val="0"/>
                <w:sz w:val="23"/>
                <w:szCs w:val="23"/>
              </w:rPr>
              <w:br w:type="textWrapping"/>
            </w:r>
            <w:r>
              <w:rPr>
                <w:rFonts w:hint="eastAsia" w:ascii="宋体" w:hAnsi="宋体" w:eastAsia="宋体" w:cs="宋体"/>
                <w:b/>
                <w:bCs/>
                <w:color w:val="000000"/>
                <w:kern w:val="0"/>
                <w:sz w:val="23"/>
                <w:szCs w:val="23"/>
              </w:rPr>
              <w:t>    中心A</w:t>
            </w:r>
          </w:p>
        </w:tc>
        <w:tc>
          <w:tcPr>
            <w:tcW w:w="0" w:type="auto"/>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BA5ECCE">
            <w:pPr>
              <w:widowControl/>
              <w:spacing w:after="150"/>
              <w:jc w:val="center"/>
              <w:rPr>
                <w:rFonts w:ascii="宋体" w:hAnsi="宋体" w:eastAsia="宋体" w:cs="宋体"/>
                <w:kern w:val="0"/>
                <w:sz w:val="24"/>
                <w:szCs w:val="24"/>
              </w:rPr>
            </w:pPr>
            <w:r>
              <w:rPr>
                <w:rFonts w:hint="eastAsia" w:ascii="宋体" w:hAnsi="宋体" w:eastAsia="宋体" w:cs="宋体"/>
                <w:b/>
                <w:bCs/>
                <w:color w:val="000000"/>
                <w:kern w:val="0"/>
                <w:sz w:val="23"/>
                <w:szCs w:val="23"/>
              </w:rPr>
              <w:t>数据</w:t>
            </w:r>
            <w:r>
              <w:rPr>
                <w:rFonts w:hint="eastAsia" w:ascii="宋体" w:hAnsi="宋体" w:eastAsia="宋体" w:cs="宋体"/>
                <w:b/>
                <w:bCs/>
                <w:color w:val="000000"/>
                <w:kern w:val="0"/>
                <w:sz w:val="23"/>
                <w:szCs w:val="23"/>
              </w:rPr>
              <w:br w:type="textWrapping"/>
            </w:r>
            <w:r>
              <w:rPr>
                <w:rFonts w:hint="eastAsia" w:ascii="宋体" w:hAnsi="宋体" w:eastAsia="宋体" w:cs="宋体"/>
                <w:b/>
                <w:bCs/>
                <w:color w:val="000000"/>
                <w:kern w:val="0"/>
                <w:sz w:val="23"/>
                <w:szCs w:val="23"/>
              </w:rPr>
              <w:t>    中心B</w:t>
            </w:r>
          </w:p>
        </w:tc>
        <w:tc>
          <w:tcPr>
            <w:tcW w:w="0" w:type="auto"/>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4A04277">
            <w:pPr>
              <w:widowControl/>
              <w:spacing w:after="150"/>
              <w:jc w:val="center"/>
              <w:rPr>
                <w:rFonts w:ascii="宋体" w:hAnsi="宋体" w:eastAsia="宋体" w:cs="宋体"/>
                <w:kern w:val="0"/>
                <w:sz w:val="24"/>
                <w:szCs w:val="24"/>
              </w:rPr>
            </w:pPr>
            <w:r>
              <w:rPr>
                <w:rFonts w:hint="eastAsia" w:ascii="宋体" w:hAnsi="宋体" w:eastAsia="宋体" w:cs="宋体"/>
                <w:b/>
                <w:bCs/>
                <w:color w:val="000000"/>
                <w:kern w:val="0"/>
                <w:sz w:val="23"/>
                <w:szCs w:val="23"/>
              </w:rPr>
              <w:t>合计</w:t>
            </w:r>
          </w:p>
        </w:tc>
      </w:tr>
      <w:tr w14:paraId="3039F8FF">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585" w:hRule="atLeast"/>
        </w:trPr>
        <w:tc>
          <w:tcPr>
            <w:tcW w:w="0" w:type="auto"/>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9A2C445">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　13</w:t>
            </w:r>
          </w:p>
        </w:tc>
        <w:tc>
          <w:tcPr>
            <w:tcW w:w="0" w:type="auto"/>
            <w:vMerge w:val="restar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7CE04E7">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分布式关系型数据库授权</w:t>
            </w: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ABC0F40">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4"/>
                <w:szCs w:val="24"/>
              </w:rPr>
              <w:t>一、数据库服务：</w:t>
            </w:r>
          </w:p>
        </w:tc>
        <w:tc>
          <w:tcPr>
            <w:tcW w:w="0" w:type="auto"/>
            <w:vMerge w:val="restar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754884A">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套</w:t>
            </w:r>
          </w:p>
        </w:tc>
        <w:tc>
          <w:tcPr>
            <w:tcW w:w="0" w:type="auto"/>
            <w:vMerge w:val="restar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A7B5488">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1</w:t>
            </w:r>
          </w:p>
        </w:tc>
        <w:tc>
          <w:tcPr>
            <w:tcW w:w="0" w:type="auto"/>
            <w:vMerge w:val="restar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B7E1A64">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1</w:t>
            </w:r>
          </w:p>
        </w:tc>
        <w:tc>
          <w:tcPr>
            <w:tcW w:w="0" w:type="auto"/>
            <w:vMerge w:val="restar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2AA2620">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2</w:t>
            </w:r>
          </w:p>
        </w:tc>
      </w:tr>
      <w:tr w14:paraId="1ED97B7A">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585" w:hRule="atLeast"/>
        </w:trPr>
        <w:tc>
          <w:tcPr>
            <w:tcW w:w="0" w:type="auto"/>
            <w:vMerge w:val="continue"/>
            <w:tcBorders>
              <w:top w:val="nil"/>
              <w:left w:val="single" w:color="auto" w:sz="6" w:space="0"/>
              <w:bottom w:val="single" w:color="auto" w:sz="6" w:space="0"/>
              <w:right w:val="single" w:color="auto" w:sz="6" w:space="0"/>
            </w:tcBorders>
            <w:shd w:val="clear" w:color="auto" w:fill="auto"/>
            <w:vAlign w:val="center"/>
          </w:tcPr>
          <w:p w14:paraId="7CF71279">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14:paraId="2147B5D1">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81EA6D3">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0"/>
                <w:szCs w:val="20"/>
              </w:rPr>
              <w:t>1、完成原有核心区分布式数据库集群在短时间内进行平滑扩展，并将业务数据均衡至新增的数据库服务器节点上。</w:t>
            </w:r>
          </w:p>
        </w:tc>
        <w:tc>
          <w:tcPr>
            <w:tcW w:w="0" w:type="auto"/>
            <w:vMerge w:val="continue"/>
            <w:tcBorders>
              <w:top w:val="nil"/>
              <w:left w:val="nil"/>
              <w:bottom w:val="single" w:color="auto" w:sz="6" w:space="0"/>
              <w:right w:val="single" w:color="auto" w:sz="6" w:space="0"/>
            </w:tcBorders>
            <w:shd w:val="clear" w:color="auto" w:fill="auto"/>
            <w:vAlign w:val="center"/>
          </w:tcPr>
          <w:p w14:paraId="2C171EAB">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14:paraId="2E37FC9F">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14:paraId="796AA1B3">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14:paraId="0268A843">
            <w:pPr>
              <w:widowControl/>
              <w:jc w:val="left"/>
              <w:rPr>
                <w:rFonts w:ascii="宋体" w:hAnsi="宋体" w:eastAsia="宋体" w:cs="宋体"/>
                <w:kern w:val="0"/>
                <w:sz w:val="24"/>
                <w:szCs w:val="24"/>
              </w:rPr>
            </w:pPr>
          </w:p>
        </w:tc>
      </w:tr>
      <w:tr w14:paraId="409431DB">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585" w:hRule="atLeast"/>
        </w:trPr>
        <w:tc>
          <w:tcPr>
            <w:tcW w:w="0" w:type="auto"/>
            <w:vMerge w:val="continue"/>
            <w:tcBorders>
              <w:top w:val="nil"/>
              <w:left w:val="single" w:color="auto" w:sz="6" w:space="0"/>
              <w:bottom w:val="single" w:color="auto" w:sz="6" w:space="0"/>
              <w:right w:val="single" w:color="auto" w:sz="6" w:space="0"/>
            </w:tcBorders>
            <w:shd w:val="clear" w:color="auto" w:fill="auto"/>
            <w:vAlign w:val="center"/>
          </w:tcPr>
          <w:p w14:paraId="3B7F910E">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14:paraId="72C43376">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778BF0B">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4"/>
                <w:szCs w:val="24"/>
              </w:rPr>
              <w:t>二、数据库授权</w:t>
            </w:r>
          </w:p>
        </w:tc>
        <w:tc>
          <w:tcPr>
            <w:tcW w:w="0" w:type="auto"/>
            <w:vMerge w:val="continue"/>
            <w:tcBorders>
              <w:top w:val="nil"/>
              <w:left w:val="nil"/>
              <w:bottom w:val="single" w:color="auto" w:sz="6" w:space="0"/>
              <w:right w:val="single" w:color="auto" w:sz="6" w:space="0"/>
            </w:tcBorders>
            <w:shd w:val="clear" w:color="auto" w:fill="auto"/>
            <w:vAlign w:val="center"/>
          </w:tcPr>
          <w:p w14:paraId="554732D8">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14:paraId="3B3B34F6">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14:paraId="477C01C8">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14:paraId="6247D876">
            <w:pPr>
              <w:widowControl/>
              <w:jc w:val="left"/>
              <w:rPr>
                <w:rFonts w:ascii="宋体" w:hAnsi="宋体" w:eastAsia="宋体" w:cs="宋体"/>
                <w:kern w:val="0"/>
                <w:sz w:val="24"/>
                <w:szCs w:val="24"/>
              </w:rPr>
            </w:pPr>
          </w:p>
        </w:tc>
      </w:tr>
      <w:tr w14:paraId="25E8371E">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185" w:hRule="atLeast"/>
        </w:trPr>
        <w:tc>
          <w:tcPr>
            <w:tcW w:w="0" w:type="auto"/>
            <w:vMerge w:val="continue"/>
            <w:tcBorders>
              <w:top w:val="nil"/>
              <w:left w:val="single" w:color="auto" w:sz="6" w:space="0"/>
              <w:bottom w:val="single" w:color="auto" w:sz="6" w:space="0"/>
              <w:right w:val="single" w:color="auto" w:sz="6" w:space="0"/>
            </w:tcBorders>
            <w:shd w:val="clear" w:color="auto" w:fill="auto"/>
            <w:vAlign w:val="center"/>
          </w:tcPr>
          <w:p w14:paraId="2B927F27">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14:paraId="6EE822D4">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02FAAD1">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0"/>
                <w:szCs w:val="20"/>
              </w:rPr>
              <w:t>1、满足《医疗保障信息平台云计算平台规范》和《进一步做好医保信息平台建设有关工作的通知》的要求，新增的数据库节点需在原有数据库集群的基础上进行平滑扩展；满足实际部署硬件数量要求的授权许可，</w:t>
            </w:r>
            <w:r>
              <w:rPr>
                <w:rFonts w:hint="eastAsia" w:ascii="宋体" w:hAnsi="宋体" w:eastAsia="宋体" w:cs="宋体"/>
                <w:b/>
                <w:bCs/>
                <w:color w:val="000000"/>
                <w:kern w:val="0"/>
                <w:sz w:val="24"/>
                <w:szCs w:val="24"/>
              </w:rPr>
              <w:t>提供不少于3520个物理核数授权（A中心</w:t>
            </w:r>
            <w:r>
              <w:rPr>
                <w:rFonts w:hint="eastAsia" w:ascii="宋体" w:hAnsi="宋体" w:eastAsia="宋体" w:cs="宋体"/>
                <w:color w:val="000000"/>
                <w:kern w:val="0"/>
                <w:sz w:val="23"/>
                <w:szCs w:val="23"/>
              </w:rPr>
              <w:t>≥</w:t>
            </w:r>
            <w:r>
              <w:rPr>
                <w:rFonts w:hint="eastAsia" w:ascii="宋体" w:hAnsi="宋体" w:eastAsia="宋体" w:cs="宋体"/>
                <w:b/>
                <w:bCs/>
                <w:color w:val="000000"/>
                <w:kern w:val="0"/>
                <w:sz w:val="24"/>
                <w:szCs w:val="24"/>
              </w:rPr>
              <w:t>2304个物理核，B中心</w:t>
            </w:r>
            <w:r>
              <w:rPr>
                <w:rFonts w:hint="eastAsia" w:ascii="宋体" w:hAnsi="宋体" w:eastAsia="宋体" w:cs="宋体"/>
                <w:color w:val="000000"/>
                <w:kern w:val="0"/>
                <w:sz w:val="23"/>
                <w:szCs w:val="23"/>
              </w:rPr>
              <w:t>≥</w:t>
            </w:r>
            <w:r>
              <w:rPr>
                <w:rFonts w:hint="eastAsia" w:ascii="宋体" w:hAnsi="宋体" w:eastAsia="宋体" w:cs="宋体"/>
                <w:b/>
                <w:bCs/>
                <w:color w:val="000000"/>
                <w:kern w:val="0"/>
                <w:sz w:val="24"/>
                <w:szCs w:val="24"/>
              </w:rPr>
              <w:t>1216个物理核），承诺满足本期数据库部署的实际授权数量；</w:t>
            </w:r>
          </w:p>
        </w:tc>
        <w:tc>
          <w:tcPr>
            <w:tcW w:w="0" w:type="auto"/>
            <w:vMerge w:val="continue"/>
            <w:tcBorders>
              <w:top w:val="nil"/>
              <w:left w:val="nil"/>
              <w:bottom w:val="single" w:color="auto" w:sz="6" w:space="0"/>
              <w:right w:val="single" w:color="auto" w:sz="6" w:space="0"/>
            </w:tcBorders>
            <w:shd w:val="clear" w:color="auto" w:fill="auto"/>
            <w:vAlign w:val="center"/>
          </w:tcPr>
          <w:p w14:paraId="761430B6">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14:paraId="7158BB71">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14:paraId="57C1C3B8">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14:paraId="3503D918">
            <w:pPr>
              <w:widowControl/>
              <w:jc w:val="left"/>
              <w:rPr>
                <w:rFonts w:ascii="宋体" w:hAnsi="宋体" w:eastAsia="宋体" w:cs="宋体"/>
                <w:kern w:val="0"/>
                <w:sz w:val="24"/>
                <w:szCs w:val="24"/>
              </w:rPr>
            </w:pPr>
          </w:p>
        </w:tc>
      </w:tr>
      <w:tr w14:paraId="50019824">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035" w:hRule="atLeast"/>
        </w:trPr>
        <w:tc>
          <w:tcPr>
            <w:tcW w:w="0" w:type="auto"/>
            <w:vMerge w:val="continue"/>
            <w:tcBorders>
              <w:top w:val="nil"/>
              <w:left w:val="single" w:color="auto" w:sz="6" w:space="0"/>
              <w:bottom w:val="single" w:color="auto" w:sz="6" w:space="0"/>
              <w:right w:val="single" w:color="auto" w:sz="6" w:space="0"/>
            </w:tcBorders>
            <w:shd w:val="clear" w:color="auto" w:fill="auto"/>
            <w:vAlign w:val="center"/>
          </w:tcPr>
          <w:p w14:paraId="078BF1DD">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14:paraId="43FC4641">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66A24EA">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0"/>
                <w:szCs w:val="20"/>
              </w:rPr>
              <w:t>2、与现有的核心区云平台、容灾管理平台无缝对接，接受云平台的统一纳管和配置下发，以便于进行业务的自动开通；接受容灾管理平台的统一调度，以便于进行A/B中心的容灾切换；</w:t>
            </w:r>
          </w:p>
        </w:tc>
        <w:tc>
          <w:tcPr>
            <w:tcW w:w="0" w:type="auto"/>
            <w:vMerge w:val="continue"/>
            <w:tcBorders>
              <w:top w:val="nil"/>
              <w:left w:val="nil"/>
              <w:bottom w:val="single" w:color="auto" w:sz="6" w:space="0"/>
              <w:right w:val="single" w:color="auto" w:sz="6" w:space="0"/>
            </w:tcBorders>
            <w:shd w:val="clear" w:color="auto" w:fill="auto"/>
            <w:vAlign w:val="center"/>
          </w:tcPr>
          <w:p w14:paraId="7459CBAB">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14:paraId="595AD437">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14:paraId="0241BA20">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14:paraId="5B8EB77A">
            <w:pPr>
              <w:widowControl/>
              <w:jc w:val="left"/>
              <w:rPr>
                <w:rFonts w:ascii="宋体" w:hAnsi="宋体" w:eastAsia="宋体" w:cs="宋体"/>
                <w:kern w:val="0"/>
                <w:sz w:val="24"/>
                <w:szCs w:val="24"/>
              </w:rPr>
            </w:pPr>
          </w:p>
        </w:tc>
      </w:tr>
      <w:tr w14:paraId="12739BD9">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810" w:hRule="atLeast"/>
        </w:trPr>
        <w:tc>
          <w:tcPr>
            <w:tcW w:w="0" w:type="auto"/>
            <w:vMerge w:val="continue"/>
            <w:tcBorders>
              <w:top w:val="nil"/>
              <w:left w:val="single" w:color="auto" w:sz="6" w:space="0"/>
              <w:bottom w:val="single" w:color="auto" w:sz="6" w:space="0"/>
              <w:right w:val="single" w:color="auto" w:sz="6" w:space="0"/>
            </w:tcBorders>
            <w:shd w:val="clear" w:color="auto" w:fill="auto"/>
            <w:vAlign w:val="center"/>
          </w:tcPr>
          <w:p w14:paraId="114C5DC3">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14:paraId="79C0DCD3">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90874CC">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0"/>
                <w:szCs w:val="20"/>
              </w:rPr>
              <w:t>3、分布式关系型数据库架构，适配国家下发HSAF医保框架；</w:t>
            </w:r>
          </w:p>
        </w:tc>
        <w:tc>
          <w:tcPr>
            <w:tcW w:w="0" w:type="auto"/>
            <w:vMerge w:val="continue"/>
            <w:tcBorders>
              <w:top w:val="nil"/>
              <w:left w:val="nil"/>
              <w:bottom w:val="single" w:color="auto" w:sz="6" w:space="0"/>
              <w:right w:val="single" w:color="auto" w:sz="6" w:space="0"/>
            </w:tcBorders>
            <w:shd w:val="clear" w:color="auto" w:fill="auto"/>
            <w:vAlign w:val="center"/>
          </w:tcPr>
          <w:p w14:paraId="5BE63364">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14:paraId="3F083FDE">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14:paraId="47E0C0AC">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14:paraId="2ED2298B">
            <w:pPr>
              <w:widowControl/>
              <w:jc w:val="left"/>
              <w:rPr>
                <w:rFonts w:ascii="宋体" w:hAnsi="宋体" w:eastAsia="宋体" w:cs="宋体"/>
                <w:kern w:val="0"/>
                <w:sz w:val="24"/>
                <w:szCs w:val="24"/>
              </w:rPr>
            </w:pPr>
          </w:p>
        </w:tc>
      </w:tr>
      <w:tr w14:paraId="4E437E7A">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810" w:hRule="atLeast"/>
        </w:trPr>
        <w:tc>
          <w:tcPr>
            <w:tcW w:w="0" w:type="auto"/>
            <w:vMerge w:val="continue"/>
            <w:tcBorders>
              <w:top w:val="nil"/>
              <w:left w:val="single" w:color="auto" w:sz="6" w:space="0"/>
              <w:bottom w:val="single" w:color="auto" w:sz="6" w:space="0"/>
              <w:right w:val="single" w:color="auto" w:sz="6" w:space="0"/>
            </w:tcBorders>
            <w:shd w:val="clear" w:color="auto" w:fill="auto"/>
            <w:vAlign w:val="center"/>
          </w:tcPr>
          <w:p w14:paraId="5BC92DC3">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14:paraId="6456BE4A">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274AF9C">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0"/>
                <w:szCs w:val="20"/>
              </w:rPr>
              <w:t>4、支持mysql命令行工具、常用可视图形化数客户端工具（例如：workbench、navicat、sqlyog）</w:t>
            </w:r>
          </w:p>
        </w:tc>
        <w:tc>
          <w:tcPr>
            <w:tcW w:w="0" w:type="auto"/>
            <w:vMerge w:val="continue"/>
            <w:tcBorders>
              <w:top w:val="nil"/>
              <w:left w:val="nil"/>
              <w:bottom w:val="single" w:color="auto" w:sz="6" w:space="0"/>
              <w:right w:val="single" w:color="auto" w:sz="6" w:space="0"/>
            </w:tcBorders>
            <w:shd w:val="clear" w:color="auto" w:fill="auto"/>
            <w:vAlign w:val="center"/>
          </w:tcPr>
          <w:p w14:paraId="0ACC1E8C">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14:paraId="7BB20332">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14:paraId="246EC69C">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14:paraId="44116ECC">
            <w:pPr>
              <w:widowControl/>
              <w:jc w:val="left"/>
              <w:rPr>
                <w:rFonts w:ascii="宋体" w:hAnsi="宋体" w:eastAsia="宋体" w:cs="宋体"/>
                <w:kern w:val="0"/>
                <w:sz w:val="24"/>
                <w:szCs w:val="24"/>
              </w:rPr>
            </w:pPr>
          </w:p>
        </w:tc>
      </w:tr>
      <w:tr w14:paraId="4774F895">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810" w:hRule="atLeast"/>
        </w:trPr>
        <w:tc>
          <w:tcPr>
            <w:tcW w:w="0" w:type="auto"/>
            <w:vMerge w:val="continue"/>
            <w:tcBorders>
              <w:top w:val="nil"/>
              <w:left w:val="single" w:color="auto" w:sz="6" w:space="0"/>
              <w:bottom w:val="single" w:color="auto" w:sz="6" w:space="0"/>
              <w:right w:val="single" w:color="auto" w:sz="6" w:space="0"/>
            </w:tcBorders>
            <w:shd w:val="clear" w:color="auto" w:fill="auto"/>
            <w:vAlign w:val="center"/>
          </w:tcPr>
          <w:p w14:paraId="231AC3EF">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14:paraId="0E62BD3B">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32688E4">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0"/>
                <w:szCs w:val="20"/>
              </w:rPr>
              <w:t>5、支持Informatic/Kettle等ETL数据抽取工具从分布式关系型数据库中按需大规模抽取数据，支持OGG/DSG等工具从同构/异构数据库中将数据迁移到分布式关系型数据库集群中；</w:t>
            </w:r>
          </w:p>
        </w:tc>
        <w:tc>
          <w:tcPr>
            <w:tcW w:w="0" w:type="auto"/>
            <w:vMerge w:val="continue"/>
            <w:tcBorders>
              <w:top w:val="nil"/>
              <w:left w:val="nil"/>
              <w:bottom w:val="single" w:color="auto" w:sz="6" w:space="0"/>
              <w:right w:val="single" w:color="auto" w:sz="6" w:space="0"/>
            </w:tcBorders>
            <w:shd w:val="clear" w:color="auto" w:fill="auto"/>
            <w:vAlign w:val="center"/>
          </w:tcPr>
          <w:p w14:paraId="60A05936">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14:paraId="0D420171">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14:paraId="700C6373">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14:paraId="6FC3D1AE">
            <w:pPr>
              <w:widowControl/>
              <w:jc w:val="left"/>
              <w:rPr>
                <w:rFonts w:ascii="宋体" w:hAnsi="宋体" w:eastAsia="宋体" w:cs="宋体"/>
                <w:kern w:val="0"/>
                <w:sz w:val="24"/>
                <w:szCs w:val="24"/>
              </w:rPr>
            </w:pPr>
          </w:p>
        </w:tc>
      </w:tr>
      <w:tr w14:paraId="45F75693">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050" w:hRule="atLeast"/>
        </w:trPr>
        <w:tc>
          <w:tcPr>
            <w:tcW w:w="0" w:type="auto"/>
            <w:vMerge w:val="continue"/>
            <w:tcBorders>
              <w:top w:val="nil"/>
              <w:left w:val="single" w:color="auto" w:sz="6" w:space="0"/>
              <w:bottom w:val="single" w:color="auto" w:sz="6" w:space="0"/>
              <w:right w:val="single" w:color="auto" w:sz="6" w:space="0"/>
            </w:tcBorders>
            <w:shd w:val="clear" w:color="auto" w:fill="auto"/>
            <w:vAlign w:val="center"/>
          </w:tcPr>
          <w:p w14:paraId="06DBACFA">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14:paraId="429E48F9">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DEE1757">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0"/>
                <w:szCs w:val="20"/>
              </w:rPr>
              <w:t>6、支持分片函数实时高效计算出分片字段的值与存储节点之间的映射关系，兼容现网核心区分布式数据库可视化管理平台，提供的易用分片信息配置功能；  </w:t>
            </w:r>
          </w:p>
        </w:tc>
        <w:tc>
          <w:tcPr>
            <w:tcW w:w="0" w:type="auto"/>
            <w:vMerge w:val="continue"/>
            <w:tcBorders>
              <w:top w:val="nil"/>
              <w:left w:val="nil"/>
              <w:bottom w:val="single" w:color="auto" w:sz="6" w:space="0"/>
              <w:right w:val="single" w:color="auto" w:sz="6" w:space="0"/>
            </w:tcBorders>
            <w:shd w:val="clear" w:color="auto" w:fill="auto"/>
            <w:vAlign w:val="center"/>
          </w:tcPr>
          <w:p w14:paraId="43E48E8A">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14:paraId="3B7ACE46">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14:paraId="0FB3CB78">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14:paraId="467A2634">
            <w:pPr>
              <w:widowControl/>
              <w:jc w:val="left"/>
              <w:rPr>
                <w:rFonts w:ascii="宋体" w:hAnsi="宋体" w:eastAsia="宋体" w:cs="宋体"/>
                <w:kern w:val="0"/>
                <w:sz w:val="24"/>
                <w:szCs w:val="24"/>
              </w:rPr>
            </w:pPr>
          </w:p>
        </w:tc>
      </w:tr>
      <w:tr w14:paraId="6186E96A">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050" w:hRule="atLeast"/>
        </w:trPr>
        <w:tc>
          <w:tcPr>
            <w:tcW w:w="0" w:type="auto"/>
            <w:vMerge w:val="continue"/>
            <w:tcBorders>
              <w:top w:val="nil"/>
              <w:left w:val="single" w:color="auto" w:sz="6" w:space="0"/>
              <w:bottom w:val="single" w:color="auto" w:sz="6" w:space="0"/>
              <w:right w:val="single" w:color="auto" w:sz="6" w:space="0"/>
            </w:tcBorders>
            <w:shd w:val="clear" w:color="auto" w:fill="auto"/>
            <w:vAlign w:val="center"/>
          </w:tcPr>
          <w:p w14:paraId="1D9DB89F">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14:paraId="1062D5F7">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D008750">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0"/>
                <w:szCs w:val="20"/>
              </w:rPr>
              <w:t>7、支持智能自动地在逻辑拓扑、物理拓扑中醒目地标识出来集群那个组件运行出现预警或故障的信息，并且能主动探测出预警或故障的原因，做到智能快速定位故障、分析故障；</w:t>
            </w:r>
          </w:p>
        </w:tc>
        <w:tc>
          <w:tcPr>
            <w:tcW w:w="0" w:type="auto"/>
            <w:vMerge w:val="continue"/>
            <w:tcBorders>
              <w:top w:val="nil"/>
              <w:left w:val="nil"/>
              <w:bottom w:val="single" w:color="auto" w:sz="6" w:space="0"/>
              <w:right w:val="single" w:color="auto" w:sz="6" w:space="0"/>
            </w:tcBorders>
            <w:shd w:val="clear" w:color="auto" w:fill="auto"/>
            <w:vAlign w:val="center"/>
          </w:tcPr>
          <w:p w14:paraId="2789D17E">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14:paraId="7DACCC2F">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14:paraId="564E9F78">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14:paraId="3934C371">
            <w:pPr>
              <w:widowControl/>
              <w:jc w:val="left"/>
              <w:rPr>
                <w:rFonts w:ascii="宋体" w:hAnsi="宋体" w:eastAsia="宋体" w:cs="宋体"/>
                <w:kern w:val="0"/>
                <w:sz w:val="24"/>
                <w:szCs w:val="24"/>
              </w:rPr>
            </w:pPr>
          </w:p>
        </w:tc>
      </w:tr>
      <w:tr w14:paraId="6C992B75">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765" w:hRule="atLeast"/>
        </w:trPr>
        <w:tc>
          <w:tcPr>
            <w:tcW w:w="0" w:type="auto"/>
            <w:vMerge w:val="continue"/>
            <w:tcBorders>
              <w:top w:val="nil"/>
              <w:left w:val="single" w:color="auto" w:sz="6" w:space="0"/>
              <w:bottom w:val="single" w:color="auto" w:sz="6" w:space="0"/>
              <w:right w:val="single" w:color="auto" w:sz="6" w:space="0"/>
            </w:tcBorders>
            <w:shd w:val="clear" w:color="auto" w:fill="auto"/>
            <w:vAlign w:val="center"/>
          </w:tcPr>
          <w:p w14:paraId="75842230">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14:paraId="42674D88">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F715A14">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0"/>
                <w:szCs w:val="20"/>
              </w:rPr>
              <w:t>8、支持智能识别优化前后SQL语句运行效率，做到精确计算SQL语句执行的每一个环节的耗时及总耗时，并且提供同涵义不同写法的多条SQL语句执行耗时对比；</w:t>
            </w:r>
          </w:p>
        </w:tc>
        <w:tc>
          <w:tcPr>
            <w:tcW w:w="0" w:type="auto"/>
            <w:vMerge w:val="continue"/>
            <w:tcBorders>
              <w:top w:val="nil"/>
              <w:left w:val="nil"/>
              <w:bottom w:val="single" w:color="auto" w:sz="6" w:space="0"/>
              <w:right w:val="single" w:color="auto" w:sz="6" w:space="0"/>
            </w:tcBorders>
            <w:shd w:val="clear" w:color="auto" w:fill="auto"/>
            <w:vAlign w:val="center"/>
          </w:tcPr>
          <w:p w14:paraId="308BE9C6">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14:paraId="2B945F65">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14:paraId="3B854A15">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14:paraId="1C173CF5">
            <w:pPr>
              <w:widowControl/>
              <w:jc w:val="left"/>
              <w:rPr>
                <w:rFonts w:ascii="宋体" w:hAnsi="宋体" w:eastAsia="宋体" w:cs="宋体"/>
                <w:kern w:val="0"/>
                <w:sz w:val="24"/>
                <w:szCs w:val="24"/>
              </w:rPr>
            </w:pPr>
          </w:p>
        </w:tc>
      </w:tr>
      <w:tr w14:paraId="4CAE5002">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765" w:hRule="atLeast"/>
        </w:trPr>
        <w:tc>
          <w:tcPr>
            <w:tcW w:w="0" w:type="auto"/>
            <w:vMerge w:val="continue"/>
            <w:tcBorders>
              <w:top w:val="nil"/>
              <w:left w:val="single" w:color="auto" w:sz="6" w:space="0"/>
              <w:bottom w:val="single" w:color="auto" w:sz="6" w:space="0"/>
              <w:right w:val="single" w:color="auto" w:sz="6" w:space="0"/>
            </w:tcBorders>
            <w:shd w:val="clear" w:color="auto" w:fill="auto"/>
            <w:vAlign w:val="center"/>
          </w:tcPr>
          <w:p w14:paraId="3DEF83CF">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14:paraId="305C83B7">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94E187A">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0"/>
                <w:szCs w:val="20"/>
              </w:rPr>
              <w:t>9、支持智能绘制集群的逻辑拓扑、物理拓扑，并清晰地展示集群全链路运行的实时状态信息；</w:t>
            </w:r>
          </w:p>
        </w:tc>
        <w:tc>
          <w:tcPr>
            <w:tcW w:w="0" w:type="auto"/>
            <w:vMerge w:val="continue"/>
            <w:tcBorders>
              <w:top w:val="nil"/>
              <w:left w:val="nil"/>
              <w:bottom w:val="single" w:color="auto" w:sz="6" w:space="0"/>
              <w:right w:val="single" w:color="auto" w:sz="6" w:space="0"/>
            </w:tcBorders>
            <w:shd w:val="clear" w:color="auto" w:fill="auto"/>
            <w:vAlign w:val="center"/>
          </w:tcPr>
          <w:p w14:paraId="19F5C45D">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14:paraId="36A328A4">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14:paraId="2203F255">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14:paraId="5DADFE32">
            <w:pPr>
              <w:widowControl/>
              <w:jc w:val="left"/>
              <w:rPr>
                <w:rFonts w:ascii="宋体" w:hAnsi="宋体" w:eastAsia="宋体" w:cs="宋体"/>
                <w:kern w:val="0"/>
                <w:sz w:val="24"/>
                <w:szCs w:val="24"/>
              </w:rPr>
            </w:pPr>
          </w:p>
        </w:tc>
      </w:tr>
      <w:tr w14:paraId="04F7E51F">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270" w:hRule="atLeast"/>
        </w:trPr>
        <w:tc>
          <w:tcPr>
            <w:tcW w:w="0" w:type="auto"/>
            <w:vMerge w:val="continue"/>
            <w:tcBorders>
              <w:top w:val="nil"/>
              <w:left w:val="single" w:color="auto" w:sz="6" w:space="0"/>
              <w:bottom w:val="single" w:color="auto" w:sz="6" w:space="0"/>
              <w:right w:val="single" w:color="auto" w:sz="6" w:space="0"/>
            </w:tcBorders>
            <w:shd w:val="clear" w:color="auto" w:fill="auto"/>
            <w:vAlign w:val="center"/>
          </w:tcPr>
          <w:p w14:paraId="11B9D012">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14:paraId="26A20C87">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1D8B42F">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4"/>
                <w:szCs w:val="24"/>
              </w:rPr>
              <w:t>三、稳 定性要求：</w:t>
            </w:r>
          </w:p>
        </w:tc>
        <w:tc>
          <w:tcPr>
            <w:tcW w:w="0" w:type="auto"/>
            <w:vMerge w:val="continue"/>
            <w:tcBorders>
              <w:top w:val="nil"/>
              <w:left w:val="nil"/>
              <w:bottom w:val="single" w:color="auto" w:sz="6" w:space="0"/>
              <w:right w:val="single" w:color="auto" w:sz="6" w:space="0"/>
            </w:tcBorders>
            <w:shd w:val="clear" w:color="auto" w:fill="auto"/>
            <w:vAlign w:val="center"/>
          </w:tcPr>
          <w:p w14:paraId="5C9BF334">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14:paraId="2A00BC04">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14:paraId="45110B72">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14:paraId="170C265C">
            <w:pPr>
              <w:widowControl/>
              <w:jc w:val="left"/>
              <w:rPr>
                <w:rFonts w:ascii="宋体" w:hAnsi="宋体" w:eastAsia="宋体" w:cs="宋体"/>
                <w:kern w:val="0"/>
                <w:sz w:val="24"/>
                <w:szCs w:val="24"/>
              </w:rPr>
            </w:pPr>
          </w:p>
        </w:tc>
      </w:tr>
      <w:tr w14:paraId="2EDE26DA">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270" w:hRule="atLeast"/>
        </w:trPr>
        <w:tc>
          <w:tcPr>
            <w:tcW w:w="0" w:type="auto"/>
            <w:vMerge w:val="continue"/>
            <w:tcBorders>
              <w:top w:val="nil"/>
              <w:left w:val="single" w:color="auto" w:sz="6" w:space="0"/>
              <w:bottom w:val="single" w:color="auto" w:sz="6" w:space="0"/>
              <w:right w:val="single" w:color="auto" w:sz="6" w:space="0"/>
            </w:tcBorders>
            <w:shd w:val="clear" w:color="auto" w:fill="auto"/>
            <w:vAlign w:val="center"/>
          </w:tcPr>
          <w:p w14:paraId="02E00236">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14:paraId="2A36D85F">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022BFA5">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0"/>
                <w:szCs w:val="20"/>
              </w:rPr>
              <w:t>1. 分布式数据库软件可用性达到   99.9%。</w:t>
            </w:r>
          </w:p>
        </w:tc>
        <w:tc>
          <w:tcPr>
            <w:tcW w:w="0" w:type="auto"/>
            <w:vMerge w:val="continue"/>
            <w:tcBorders>
              <w:top w:val="nil"/>
              <w:left w:val="nil"/>
              <w:bottom w:val="single" w:color="auto" w:sz="6" w:space="0"/>
              <w:right w:val="single" w:color="auto" w:sz="6" w:space="0"/>
            </w:tcBorders>
            <w:shd w:val="clear" w:color="auto" w:fill="auto"/>
            <w:vAlign w:val="center"/>
          </w:tcPr>
          <w:p w14:paraId="3ECB3CB0">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14:paraId="6F434AED">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14:paraId="499CEC4C">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14:paraId="2A9A6BCB">
            <w:pPr>
              <w:widowControl/>
              <w:jc w:val="left"/>
              <w:rPr>
                <w:rFonts w:ascii="宋体" w:hAnsi="宋体" w:eastAsia="宋体" w:cs="宋体"/>
                <w:kern w:val="0"/>
                <w:sz w:val="24"/>
                <w:szCs w:val="24"/>
              </w:rPr>
            </w:pPr>
          </w:p>
        </w:tc>
      </w:tr>
      <w:tr w14:paraId="798D6322">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270" w:hRule="atLeast"/>
        </w:trPr>
        <w:tc>
          <w:tcPr>
            <w:tcW w:w="0" w:type="auto"/>
            <w:vMerge w:val="continue"/>
            <w:tcBorders>
              <w:top w:val="nil"/>
              <w:left w:val="single" w:color="auto" w:sz="6" w:space="0"/>
              <w:bottom w:val="single" w:color="auto" w:sz="6" w:space="0"/>
              <w:right w:val="single" w:color="auto" w:sz="6" w:space="0"/>
            </w:tcBorders>
            <w:shd w:val="clear" w:color="auto" w:fill="auto"/>
            <w:vAlign w:val="center"/>
          </w:tcPr>
          <w:p w14:paraId="71EB710D">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14:paraId="250A5BE8">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C30D3EE">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4"/>
                <w:szCs w:val="24"/>
              </w:rPr>
              <w:t>四、数据库性能要求：</w:t>
            </w:r>
          </w:p>
        </w:tc>
        <w:tc>
          <w:tcPr>
            <w:tcW w:w="0" w:type="auto"/>
            <w:vMerge w:val="continue"/>
            <w:tcBorders>
              <w:top w:val="nil"/>
              <w:left w:val="nil"/>
              <w:bottom w:val="single" w:color="auto" w:sz="6" w:space="0"/>
              <w:right w:val="single" w:color="auto" w:sz="6" w:space="0"/>
            </w:tcBorders>
            <w:shd w:val="clear" w:color="auto" w:fill="auto"/>
            <w:vAlign w:val="center"/>
          </w:tcPr>
          <w:p w14:paraId="6CE04D2F">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14:paraId="7933308E">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14:paraId="56E14746">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14:paraId="20EA0A2B">
            <w:pPr>
              <w:widowControl/>
              <w:jc w:val="left"/>
              <w:rPr>
                <w:rFonts w:ascii="宋体" w:hAnsi="宋体" w:eastAsia="宋体" w:cs="宋体"/>
                <w:kern w:val="0"/>
                <w:sz w:val="24"/>
                <w:szCs w:val="24"/>
              </w:rPr>
            </w:pPr>
          </w:p>
        </w:tc>
      </w:tr>
      <w:tr w14:paraId="65CB0B42">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270" w:hRule="atLeast"/>
        </w:trPr>
        <w:tc>
          <w:tcPr>
            <w:tcW w:w="0" w:type="auto"/>
            <w:vMerge w:val="continue"/>
            <w:tcBorders>
              <w:top w:val="nil"/>
              <w:left w:val="single" w:color="auto" w:sz="6" w:space="0"/>
              <w:bottom w:val="single" w:color="auto" w:sz="6" w:space="0"/>
              <w:right w:val="single" w:color="auto" w:sz="6" w:space="0"/>
            </w:tcBorders>
            <w:shd w:val="clear" w:color="auto" w:fill="auto"/>
            <w:vAlign w:val="center"/>
          </w:tcPr>
          <w:p w14:paraId="1722345E">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14:paraId="0682D20F">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5E526C5">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0"/>
                <w:szCs w:val="20"/>
              </w:rPr>
              <w:t>1. 提供应用连接池和数据库连接池，支持原生MySQL协议及JDBC。</w:t>
            </w:r>
          </w:p>
        </w:tc>
        <w:tc>
          <w:tcPr>
            <w:tcW w:w="0" w:type="auto"/>
            <w:vMerge w:val="continue"/>
            <w:tcBorders>
              <w:top w:val="nil"/>
              <w:left w:val="nil"/>
              <w:bottom w:val="single" w:color="auto" w:sz="6" w:space="0"/>
              <w:right w:val="single" w:color="auto" w:sz="6" w:space="0"/>
            </w:tcBorders>
            <w:shd w:val="clear" w:color="auto" w:fill="auto"/>
            <w:vAlign w:val="center"/>
          </w:tcPr>
          <w:p w14:paraId="08CCE852">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14:paraId="59328D02">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14:paraId="3D80832D">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14:paraId="7C7F3D55">
            <w:pPr>
              <w:widowControl/>
              <w:jc w:val="left"/>
              <w:rPr>
                <w:rFonts w:ascii="宋体" w:hAnsi="宋体" w:eastAsia="宋体" w:cs="宋体"/>
                <w:kern w:val="0"/>
                <w:sz w:val="24"/>
                <w:szCs w:val="24"/>
              </w:rPr>
            </w:pPr>
          </w:p>
        </w:tc>
      </w:tr>
      <w:tr w14:paraId="1993A697">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0" w:type="auto"/>
            <w:vMerge w:val="continue"/>
            <w:tcBorders>
              <w:top w:val="nil"/>
              <w:left w:val="single" w:color="auto" w:sz="6" w:space="0"/>
              <w:bottom w:val="single" w:color="auto" w:sz="6" w:space="0"/>
              <w:right w:val="single" w:color="auto" w:sz="6" w:space="0"/>
            </w:tcBorders>
            <w:shd w:val="clear" w:color="auto" w:fill="auto"/>
            <w:vAlign w:val="center"/>
          </w:tcPr>
          <w:p w14:paraId="42F21B77">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14:paraId="1C16C305">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2EE681D">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0"/>
                <w:szCs w:val="20"/>
              </w:rPr>
              <w:t>2. 支持水平分片表、垂直表、广播表之间的类型在线变更；切变更期间，对应用系统无感知。</w:t>
            </w:r>
          </w:p>
        </w:tc>
        <w:tc>
          <w:tcPr>
            <w:tcW w:w="0" w:type="auto"/>
            <w:vMerge w:val="continue"/>
            <w:tcBorders>
              <w:top w:val="nil"/>
              <w:left w:val="nil"/>
              <w:bottom w:val="single" w:color="auto" w:sz="6" w:space="0"/>
              <w:right w:val="single" w:color="auto" w:sz="6" w:space="0"/>
            </w:tcBorders>
            <w:shd w:val="clear" w:color="auto" w:fill="auto"/>
            <w:vAlign w:val="center"/>
          </w:tcPr>
          <w:p w14:paraId="3BAF7126">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14:paraId="4C30F417">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14:paraId="1669409B">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14:paraId="5A266E74">
            <w:pPr>
              <w:widowControl/>
              <w:jc w:val="left"/>
              <w:rPr>
                <w:rFonts w:ascii="宋体" w:hAnsi="宋体" w:eastAsia="宋体" w:cs="宋体"/>
                <w:kern w:val="0"/>
                <w:sz w:val="24"/>
                <w:szCs w:val="24"/>
              </w:rPr>
            </w:pPr>
          </w:p>
        </w:tc>
      </w:tr>
      <w:tr w14:paraId="30A6856F">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0" w:type="auto"/>
            <w:vMerge w:val="continue"/>
            <w:tcBorders>
              <w:top w:val="nil"/>
              <w:left w:val="single" w:color="auto" w:sz="6" w:space="0"/>
              <w:bottom w:val="single" w:color="auto" w:sz="6" w:space="0"/>
              <w:right w:val="single" w:color="auto" w:sz="6" w:space="0"/>
            </w:tcBorders>
            <w:shd w:val="clear" w:color="auto" w:fill="auto"/>
            <w:vAlign w:val="center"/>
          </w:tcPr>
          <w:p w14:paraId="6C6D3F34">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14:paraId="465382CA">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EBE6323">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0"/>
                <w:szCs w:val="20"/>
              </w:rPr>
              <w:t>3. 支持数据分片键有关和数据分片键无关的主键值的唯一约束功能，做到主键值的全局唯一性。</w:t>
            </w:r>
          </w:p>
        </w:tc>
        <w:tc>
          <w:tcPr>
            <w:tcW w:w="0" w:type="auto"/>
            <w:vMerge w:val="continue"/>
            <w:tcBorders>
              <w:top w:val="nil"/>
              <w:left w:val="nil"/>
              <w:bottom w:val="single" w:color="auto" w:sz="6" w:space="0"/>
              <w:right w:val="single" w:color="auto" w:sz="6" w:space="0"/>
            </w:tcBorders>
            <w:shd w:val="clear" w:color="auto" w:fill="auto"/>
            <w:vAlign w:val="center"/>
          </w:tcPr>
          <w:p w14:paraId="05B972E1">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14:paraId="63AB4EE8">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14:paraId="3004CF5B">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14:paraId="6C364555">
            <w:pPr>
              <w:widowControl/>
              <w:jc w:val="left"/>
              <w:rPr>
                <w:rFonts w:ascii="宋体" w:hAnsi="宋体" w:eastAsia="宋体" w:cs="宋体"/>
                <w:kern w:val="0"/>
                <w:sz w:val="24"/>
                <w:szCs w:val="24"/>
              </w:rPr>
            </w:pPr>
          </w:p>
        </w:tc>
      </w:tr>
      <w:tr w14:paraId="77975DA4">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0" w:type="auto"/>
            <w:vMerge w:val="continue"/>
            <w:tcBorders>
              <w:top w:val="nil"/>
              <w:left w:val="single" w:color="auto" w:sz="6" w:space="0"/>
              <w:bottom w:val="single" w:color="auto" w:sz="6" w:space="0"/>
              <w:right w:val="single" w:color="auto" w:sz="6" w:space="0"/>
            </w:tcBorders>
            <w:shd w:val="clear" w:color="auto" w:fill="auto"/>
            <w:vAlign w:val="center"/>
          </w:tcPr>
          <w:p w14:paraId="6126A51F">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14:paraId="7E3E26D3">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0784C12">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0"/>
                <w:szCs w:val="20"/>
              </w:rPr>
              <w:t>4. 支持对应用系统做到实时一致透明的跨库事务的读一致性，支持对应用系统做到实时一致透明的跨库事务的写一致性。</w:t>
            </w:r>
          </w:p>
        </w:tc>
        <w:tc>
          <w:tcPr>
            <w:tcW w:w="0" w:type="auto"/>
            <w:vMerge w:val="continue"/>
            <w:tcBorders>
              <w:top w:val="nil"/>
              <w:left w:val="nil"/>
              <w:bottom w:val="single" w:color="auto" w:sz="6" w:space="0"/>
              <w:right w:val="single" w:color="auto" w:sz="6" w:space="0"/>
            </w:tcBorders>
            <w:shd w:val="clear" w:color="auto" w:fill="auto"/>
            <w:vAlign w:val="center"/>
          </w:tcPr>
          <w:p w14:paraId="7D9DD19B">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14:paraId="3BA312AF">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14:paraId="3A3A7EDF">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14:paraId="7A1F1405">
            <w:pPr>
              <w:widowControl/>
              <w:jc w:val="left"/>
              <w:rPr>
                <w:rFonts w:ascii="宋体" w:hAnsi="宋体" w:eastAsia="宋体" w:cs="宋体"/>
                <w:kern w:val="0"/>
                <w:sz w:val="24"/>
                <w:szCs w:val="24"/>
              </w:rPr>
            </w:pPr>
          </w:p>
        </w:tc>
      </w:tr>
      <w:tr w14:paraId="03846CF0">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0" w:type="auto"/>
            <w:vMerge w:val="continue"/>
            <w:tcBorders>
              <w:top w:val="nil"/>
              <w:left w:val="single" w:color="auto" w:sz="6" w:space="0"/>
              <w:bottom w:val="single" w:color="auto" w:sz="6" w:space="0"/>
              <w:right w:val="single" w:color="auto" w:sz="6" w:space="0"/>
            </w:tcBorders>
            <w:shd w:val="clear" w:color="auto" w:fill="auto"/>
            <w:vAlign w:val="center"/>
          </w:tcPr>
          <w:p w14:paraId="457A2439">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14:paraId="529CF85B">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AC93D5B">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0"/>
                <w:szCs w:val="20"/>
              </w:rPr>
              <w:t>5. 支持删除数据库对象、删除表对象、重置表对象、清空表对象的数据等数据库误操作的快速恢复能力。</w:t>
            </w:r>
          </w:p>
        </w:tc>
        <w:tc>
          <w:tcPr>
            <w:tcW w:w="0" w:type="auto"/>
            <w:vMerge w:val="continue"/>
            <w:tcBorders>
              <w:top w:val="nil"/>
              <w:left w:val="nil"/>
              <w:bottom w:val="single" w:color="auto" w:sz="6" w:space="0"/>
              <w:right w:val="single" w:color="auto" w:sz="6" w:space="0"/>
            </w:tcBorders>
            <w:shd w:val="clear" w:color="auto" w:fill="auto"/>
            <w:vAlign w:val="center"/>
          </w:tcPr>
          <w:p w14:paraId="26C604B6">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14:paraId="5EB48EC9">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14:paraId="719F5E99">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14:paraId="2FBAF79D">
            <w:pPr>
              <w:widowControl/>
              <w:jc w:val="left"/>
              <w:rPr>
                <w:rFonts w:ascii="宋体" w:hAnsi="宋体" w:eastAsia="宋体" w:cs="宋体"/>
                <w:kern w:val="0"/>
                <w:sz w:val="24"/>
                <w:szCs w:val="24"/>
              </w:rPr>
            </w:pPr>
          </w:p>
        </w:tc>
      </w:tr>
      <w:tr w14:paraId="0DE50C1C">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0" w:type="auto"/>
            <w:vMerge w:val="continue"/>
            <w:tcBorders>
              <w:top w:val="nil"/>
              <w:left w:val="single" w:color="auto" w:sz="6" w:space="0"/>
              <w:bottom w:val="single" w:color="auto" w:sz="6" w:space="0"/>
              <w:right w:val="single" w:color="auto" w:sz="6" w:space="0"/>
            </w:tcBorders>
            <w:shd w:val="clear" w:color="auto" w:fill="auto"/>
            <w:vAlign w:val="center"/>
          </w:tcPr>
          <w:p w14:paraId="5751D027">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14:paraId="6D1284CB">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29E2943">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0"/>
                <w:szCs w:val="20"/>
              </w:rPr>
              <w:t>6. 支持智能高效识别集群中跨库事务之间发生的锁资源争用、跨库事务与单库事务之间发生的锁资源争用，规避集群因锁资源争用导致资源无法释放、事务无法正常运行。</w:t>
            </w:r>
          </w:p>
        </w:tc>
        <w:tc>
          <w:tcPr>
            <w:tcW w:w="0" w:type="auto"/>
            <w:vMerge w:val="continue"/>
            <w:tcBorders>
              <w:top w:val="nil"/>
              <w:left w:val="nil"/>
              <w:bottom w:val="single" w:color="auto" w:sz="6" w:space="0"/>
              <w:right w:val="single" w:color="auto" w:sz="6" w:space="0"/>
            </w:tcBorders>
            <w:shd w:val="clear" w:color="auto" w:fill="auto"/>
            <w:vAlign w:val="center"/>
          </w:tcPr>
          <w:p w14:paraId="38E136DD">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14:paraId="77046160">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14:paraId="6BECFF98">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14:paraId="5D44D1E9">
            <w:pPr>
              <w:widowControl/>
              <w:jc w:val="left"/>
              <w:rPr>
                <w:rFonts w:ascii="宋体" w:hAnsi="宋体" w:eastAsia="宋体" w:cs="宋体"/>
                <w:kern w:val="0"/>
                <w:sz w:val="24"/>
                <w:szCs w:val="24"/>
              </w:rPr>
            </w:pPr>
          </w:p>
        </w:tc>
      </w:tr>
      <w:tr w14:paraId="42B92117">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0" w:type="auto"/>
            <w:vMerge w:val="continue"/>
            <w:tcBorders>
              <w:top w:val="nil"/>
              <w:left w:val="single" w:color="auto" w:sz="6" w:space="0"/>
              <w:bottom w:val="single" w:color="auto" w:sz="6" w:space="0"/>
              <w:right w:val="single" w:color="auto" w:sz="6" w:space="0"/>
            </w:tcBorders>
            <w:shd w:val="clear" w:color="auto" w:fill="auto"/>
            <w:vAlign w:val="center"/>
          </w:tcPr>
          <w:p w14:paraId="52D5D7DF">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14:paraId="0D1FBB37">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5F19CE4">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0"/>
                <w:szCs w:val="20"/>
              </w:rPr>
              <w:t>7. 支持跨数据中心级别的手工触发实现应用系统访问数据库服务请求的切换转移功能、回切转移功能。</w:t>
            </w:r>
          </w:p>
        </w:tc>
        <w:tc>
          <w:tcPr>
            <w:tcW w:w="0" w:type="auto"/>
            <w:vMerge w:val="continue"/>
            <w:tcBorders>
              <w:top w:val="nil"/>
              <w:left w:val="nil"/>
              <w:bottom w:val="single" w:color="auto" w:sz="6" w:space="0"/>
              <w:right w:val="single" w:color="auto" w:sz="6" w:space="0"/>
            </w:tcBorders>
            <w:shd w:val="clear" w:color="auto" w:fill="auto"/>
            <w:vAlign w:val="center"/>
          </w:tcPr>
          <w:p w14:paraId="6C163C50">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14:paraId="2521FC06">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14:paraId="571369D2">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14:paraId="3114330C">
            <w:pPr>
              <w:widowControl/>
              <w:jc w:val="left"/>
              <w:rPr>
                <w:rFonts w:ascii="宋体" w:hAnsi="宋体" w:eastAsia="宋体" w:cs="宋体"/>
                <w:kern w:val="0"/>
                <w:sz w:val="24"/>
                <w:szCs w:val="24"/>
              </w:rPr>
            </w:pPr>
          </w:p>
        </w:tc>
      </w:tr>
      <w:tr w14:paraId="46F499F2">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0" w:type="auto"/>
            <w:vMerge w:val="continue"/>
            <w:tcBorders>
              <w:top w:val="nil"/>
              <w:left w:val="single" w:color="auto" w:sz="6" w:space="0"/>
              <w:bottom w:val="single" w:color="auto" w:sz="6" w:space="0"/>
              <w:right w:val="single" w:color="auto" w:sz="6" w:space="0"/>
            </w:tcBorders>
            <w:shd w:val="clear" w:color="auto" w:fill="auto"/>
            <w:vAlign w:val="center"/>
          </w:tcPr>
          <w:p w14:paraId="63FB6B54">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14:paraId="6269505C">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298CD2B">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0"/>
                <w:szCs w:val="20"/>
              </w:rPr>
              <w:t>8. 支持SQL执行计划，可查看整个SQL执行过程包括分布式关系型数据库计算节点、存储节点的执行计划。</w:t>
            </w:r>
          </w:p>
        </w:tc>
        <w:tc>
          <w:tcPr>
            <w:tcW w:w="0" w:type="auto"/>
            <w:vMerge w:val="continue"/>
            <w:tcBorders>
              <w:top w:val="nil"/>
              <w:left w:val="nil"/>
              <w:bottom w:val="single" w:color="auto" w:sz="6" w:space="0"/>
              <w:right w:val="single" w:color="auto" w:sz="6" w:space="0"/>
            </w:tcBorders>
            <w:shd w:val="clear" w:color="auto" w:fill="auto"/>
            <w:vAlign w:val="center"/>
          </w:tcPr>
          <w:p w14:paraId="0AFFACBC">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14:paraId="686299B7">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14:paraId="3608FFAE">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14:paraId="34BBE511">
            <w:pPr>
              <w:widowControl/>
              <w:jc w:val="left"/>
              <w:rPr>
                <w:rFonts w:ascii="宋体" w:hAnsi="宋体" w:eastAsia="宋体" w:cs="宋体"/>
                <w:kern w:val="0"/>
                <w:sz w:val="24"/>
                <w:szCs w:val="24"/>
              </w:rPr>
            </w:pPr>
          </w:p>
        </w:tc>
      </w:tr>
      <w:tr w14:paraId="4669EFE4">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0" w:type="auto"/>
            <w:vMerge w:val="continue"/>
            <w:tcBorders>
              <w:top w:val="nil"/>
              <w:left w:val="single" w:color="auto" w:sz="6" w:space="0"/>
              <w:bottom w:val="single" w:color="auto" w:sz="6" w:space="0"/>
              <w:right w:val="single" w:color="auto" w:sz="6" w:space="0"/>
            </w:tcBorders>
            <w:shd w:val="clear" w:color="auto" w:fill="auto"/>
            <w:vAlign w:val="center"/>
          </w:tcPr>
          <w:p w14:paraId="26A87FFC">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14:paraId="2C2FA272">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C0E71F7">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0"/>
                <w:szCs w:val="20"/>
              </w:rPr>
              <w:t>9. 支持可视化管理平台提供易用功能完成分片信息的配置； </w:t>
            </w:r>
            <w:r>
              <w:rPr>
                <w:rFonts w:hint="eastAsia" w:ascii="宋体" w:hAnsi="宋体" w:eastAsia="宋体" w:cs="宋体"/>
                <w:color w:val="000000"/>
                <w:kern w:val="0"/>
                <w:sz w:val="24"/>
                <w:szCs w:val="24"/>
              </w:rPr>
              <w:t> </w:t>
            </w:r>
          </w:p>
        </w:tc>
        <w:tc>
          <w:tcPr>
            <w:tcW w:w="0" w:type="auto"/>
            <w:vMerge w:val="continue"/>
            <w:tcBorders>
              <w:top w:val="nil"/>
              <w:left w:val="nil"/>
              <w:bottom w:val="single" w:color="auto" w:sz="6" w:space="0"/>
              <w:right w:val="single" w:color="auto" w:sz="6" w:space="0"/>
            </w:tcBorders>
            <w:shd w:val="clear" w:color="auto" w:fill="auto"/>
            <w:vAlign w:val="center"/>
          </w:tcPr>
          <w:p w14:paraId="6B9CEAEC">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14:paraId="0E569842">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14:paraId="6BA6D93E">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14:paraId="6EDDD52E">
            <w:pPr>
              <w:widowControl/>
              <w:jc w:val="left"/>
              <w:rPr>
                <w:rFonts w:ascii="宋体" w:hAnsi="宋体" w:eastAsia="宋体" w:cs="宋体"/>
                <w:kern w:val="0"/>
                <w:sz w:val="24"/>
                <w:szCs w:val="24"/>
              </w:rPr>
            </w:pPr>
          </w:p>
        </w:tc>
      </w:tr>
      <w:tr w14:paraId="1361AA13">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0" w:type="auto"/>
            <w:vMerge w:val="continue"/>
            <w:tcBorders>
              <w:top w:val="nil"/>
              <w:left w:val="single" w:color="auto" w:sz="6" w:space="0"/>
              <w:bottom w:val="single" w:color="auto" w:sz="6" w:space="0"/>
              <w:right w:val="single" w:color="auto" w:sz="6" w:space="0"/>
            </w:tcBorders>
            <w:shd w:val="clear" w:color="auto" w:fill="auto"/>
            <w:vAlign w:val="center"/>
          </w:tcPr>
          <w:p w14:paraId="75F91ECF">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14:paraId="56A77B91">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6498EF1">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0"/>
                <w:szCs w:val="20"/>
              </w:rPr>
              <w:t>10. 支持跨存储节点的MySQL数据库函数的运算和结果集的合并运算，如：U NION、I NSERT INTO S ELECT、COUNT(DISTINCT)、GROUP BY WITH ROLLUP、GROUP_CONCAT、SUM、COUNT、MAX、MIN 等。</w:t>
            </w:r>
          </w:p>
        </w:tc>
        <w:tc>
          <w:tcPr>
            <w:tcW w:w="0" w:type="auto"/>
            <w:vMerge w:val="continue"/>
            <w:tcBorders>
              <w:top w:val="nil"/>
              <w:left w:val="nil"/>
              <w:bottom w:val="single" w:color="auto" w:sz="6" w:space="0"/>
              <w:right w:val="single" w:color="auto" w:sz="6" w:space="0"/>
            </w:tcBorders>
            <w:shd w:val="clear" w:color="auto" w:fill="auto"/>
            <w:vAlign w:val="center"/>
          </w:tcPr>
          <w:p w14:paraId="6274DDB7">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14:paraId="20CFF1F9">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14:paraId="0CABC9C7">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14:paraId="1953D3E5">
            <w:pPr>
              <w:widowControl/>
              <w:jc w:val="left"/>
              <w:rPr>
                <w:rFonts w:ascii="宋体" w:hAnsi="宋体" w:eastAsia="宋体" w:cs="宋体"/>
                <w:kern w:val="0"/>
                <w:sz w:val="24"/>
                <w:szCs w:val="24"/>
              </w:rPr>
            </w:pPr>
          </w:p>
        </w:tc>
      </w:tr>
      <w:tr w14:paraId="335A47A8">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270" w:hRule="atLeast"/>
        </w:trPr>
        <w:tc>
          <w:tcPr>
            <w:tcW w:w="0" w:type="auto"/>
            <w:vMerge w:val="continue"/>
            <w:tcBorders>
              <w:top w:val="nil"/>
              <w:left w:val="single" w:color="auto" w:sz="6" w:space="0"/>
              <w:bottom w:val="single" w:color="auto" w:sz="6" w:space="0"/>
              <w:right w:val="single" w:color="auto" w:sz="6" w:space="0"/>
            </w:tcBorders>
            <w:shd w:val="clear" w:color="auto" w:fill="auto"/>
            <w:vAlign w:val="center"/>
          </w:tcPr>
          <w:p w14:paraId="368F36CC">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14:paraId="4DC69B49">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884485E">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0"/>
                <w:szCs w:val="20"/>
              </w:rPr>
              <w:t>11. 支持智能收集全部SQL语句的运行统计信息，以及数据库图表展示。</w:t>
            </w:r>
          </w:p>
        </w:tc>
        <w:tc>
          <w:tcPr>
            <w:tcW w:w="0" w:type="auto"/>
            <w:vMerge w:val="continue"/>
            <w:tcBorders>
              <w:top w:val="nil"/>
              <w:left w:val="nil"/>
              <w:bottom w:val="single" w:color="auto" w:sz="6" w:space="0"/>
              <w:right w:val="single" w:color="auto" w:sz="6" w:space="0"/>
            </w:tcBorders>
            <w:shd w:val="clear" w:color="auto" w:fill="auto"/>
            <w:vAlign w:val="center"/>
          </w:tcPr>
          <w:p w14:paraId="4FB5E3DE">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14:paraId="3223234E">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14:paraId="50DDA54E">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14:paraId="53C26B0D">
            <w:pPr>
              <w:widowControl/>
              <w:jc w:val="left"/>
              <w:rPr>
                <w:rFonts w:ascii="宋体" w:hAnsi="宋体" w:eastAsia="宋体" w:cs="宋体"/>
                <w:kern w:val="0"/>
                <w:sz w:val="24"/>
                <w:szCs w:val="24"/>
              </w:rPr>
            </w:pPr>
          </w:p>
        </w:tc>
      </w:tr>
      <w:tr w14:paraId="440CEA51">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0" w:type="auto"/>
            <w:vMerge w:val="continue"/>
            <w:tcBorders>
              <w:top w:val="nil"/>
              <w:left w:val="single" w:color="auto" w:sz="6" w:space="0"/>
              <w:bottom w:val="single" w:color="auto" w:sz="6" w:space="0"/>
              <w:right w:val="single" w:color="auto" w:sz="6" w:space="0"/>
            </w:tcBorders>
            <w:shd w:val="clear" w:color="auto" w:fill="auto"/>
            <w:vAlign w:val="center"/>
          </w:tcPr>
          <w:p w14:paraId="19A2C057">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14:paraId="57D280CA">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A1618D1">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0"/>
                <w:szCs w:val="20"/>
              </w:rPr>
              <w:t>12. 提供数据校验做到主备数据一致性校验、主备表结构一致性校验、全局表数据校验、表结构一致性校验</w:t>
            </w:r>
          </w:p>
        </w:tc>
        <w:tc>
          <w:tcPr>
            <w:tcW w:w="0" w:type="auto"/>
            <w:vMerge w:val="continue"/>
            <w:tcBorders>
              <w:top w:val="nil"/>
              <w:left w:val="nil"/>
              <w:bottom w:val="single" w:color="auto" w:sz="6" w:space="0"/>
              <w:right w:val="single" w:color="auto" w:sz="6" w:space="0"/>
            </w:tcBorders>
            <w:shd w:val="clear" w:color="auto" w:fill="auto"/>
            <w:vAlign w:val="center"/>
          </w:tcPr>
          <w:p w14:paraId="459BC1B5">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14:paraId="5FE1210D">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14:paraId="3B8BAFDD">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14:paraId="5A829FA1">
            <w:pPr>
              <w:widowControl/>
              <w:jc w:val="left"/>
              <w:rPr>
                <w:rFonts w:ascii="宋体" w:hAnsi="宋体" w:eastAsia="宋体" w:cs="宋体"/>
                <w:kern w:val="0"/>
                <w:sz w:val="24"/>
                <w:szCs w:val="24"/>
              </w:rPr>
            </w:pPr>
          </w:p>
        </w:tc>
      </w:tr>
      <w:tr w14:paraId="56B11CFF">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0" w:type="auto"/>
            <w:vMerge w:val="continue"/>
            <w:tcBorders>
              <w:top w:val="nil"/>
              <w:left w:val="single" w:color="auto" w:sz="6" w:space="0"/>
              <w:bottom w:val="single" w:color="auto" w:sz="6" w:space="0"/>
              <w:right w:val="single" w:color="auto" w:sz="6" w:space="0"/>
            </w:tcBorders>
            <w:shd w:val="clear" w:color="auto" w:fill="auto"/>
            <w:vAlign w:val="center"/>
          </w:tcPr>
          <w:p w14:paraId="062BF7CE">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14:paraId="6820E536">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50D52B6">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0"/>
                <w:szCs w:val="20"/>
              </w:rPr>
              <w:t>13. 支持集群级别、业务库级别、表级别的三种粒度以及多维度的权限控制。</w:t>
            </w:r>
          </w:p>
        </w:tc>
        <w:tc>
          <w:tcPr>
            <w:tcW w:w="0" w:type="auto"/>
            <w:vMerge w:val="continue"/>
            <w:tcBorders>
              <w:top w:val="nil"/>
              <w:left w:val="nil"/>
              <w:bottom w:val="single" w:color="auto" w:sz="6" w:space="0"/>
              <w:right w:val="single" w:color="auto" w:sz="6" w:space="0"/>
            </w:tcBorders>
            <w:shd w:val="clear" w:color="auto" w:fill="auto"/>
            <w:vAlign w:val="center"/>
          </w:tcPr>
          <w:p w14:paraId="51BCD712">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14:paraId="17EE2396">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14:paraId="36154362">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14:paraId="54308062">
            <w:pPr>
              <w:widowControl/>
              <w:jc w:val="left"/>
              <w:rPr>
                <w:rFonts w:ascii="宋体" w:hAnsi="宋体" w:eastAsia="宋体" w:cs="宋体"/>
                <w:kern w:val="0"/>
                <w:sz w:val="24"/>
                <w:szCs w:val="24"/>
              </w:rPr>
            </w:pPr>
          </w:p>
        </w:tc>
      </w:tr>
    </w:tbl>
    <w:p w14:paraId="0250C309">
      <w:pPr>
        <w:widowControl/>
        <w:spacing w:before="100" w:beforeAutospacing="1" w:after="100" w:afterAutospacing="1" w:line="300" w:lineRule="atLeast"/>
        <w:jc w:val="left"/>
        <w:rPr>
          <w:rFonts w:ascii="宋体" w:hAnsi="宋体" w:eastAsia="宋体" w:cs="宋体"/>
          <w:kern w:val="0"/>
          <w:sz w:val="24"/>
          <w:szCs w:val="24"/>
        </w:rPr>
      </w:pPr>
      <w:r>
        <w:rPr>
          <w:rFonts w:hint="eastAsia" w:ascii="宋体" w:hAnsi="宋体" w:eastAsia="宋体" w:cs="宋体"/>
          <w:b/>
          <w:bCs/>
          <w:kern w:val="0"/>
          <w:sz w:val="24"/>
          <w:szCs w:val="24"/>
        </w:rPr>
        <w:t>性能提升要求</w:t>
      </w:r>
    </w:p>
    <w:p w14:paraId="0BBC22F5">
      <w:pPr>
        <w:widowControl/>
        <w:spacing w:after="150" w:line="300" w:lineRule="atLeast"/>
        <w:jc w:val="left"/>
        <w:rPr>
          <w:rFonts w:ascii="宋体" w:hAnsi="宋体" w:eastAsia="宋体" w:cs="宋体"/>
          <w:kern w:val="0"/>
          <w:sz w:val="24"/>
          <w:szCs w:val="24"/>
        </w:rPr>
      </w:pPr>
      <w:r>
        <w:rPr>
          <w:rFonts w:hint="eastAsia" w:ascii="宋体" w:hAnsi="宋体" w:eastAsia="宋体" w:cs="宋体"/>
          <w:kern w:val="0"/>
          <w:sz w:val="24"/>
          <w:szCs w:val="24"/>
        </w:rPr>
        <w:t>分布式关系型数据库性能提升要求如下：</w:t>
      </w:r>
    </w:p>
    <w:p w14:paraId="498C92BE">
      <w:pPr>
        <w:widowControl/>
        <w:spacing w:before="100" w:beforeAutospacing="1" w:after="100" w:afterAutospacing="1" w:line="300" w:lineRule="atLeast"/>
        <w:jc w:val="left"/>
        <w:rPr>
          <w:rFonts w:ascii="宋体" w:hAnsi="宋体" w:eastAsia="宋体" w:cs="宋体"/>
          <w:kern w:val="0"/>
          <w:sz w:val="24"/>
          <w:szCs w:val="24"/>
        </w:rPr>
      </w:pPr>
      <w:r>
        <w:rPr>
          <w:rFonts w:hint="eastAsia" w:ascii="宋体" w:hAnsi="宋体" w:eastAsia="宋体" w:cs="宋体"/>
          <w:kern w:val="0"/>
          <w:sz w:val="24"/>
          <w:szCs w:val="24"/>
        </w:rPr>
        <w:t>▲1、在进行表变更时，不会堵塞线上业务读写， 数据库表依然能正常对外提供访问。通过可视化管理平台，实现表分片字段在线变更，支持水平分片表、垂直表、广播表之间的类型在线变更，切变更期间，对应用系统无感知；(提供具有CMA或CNAS标识的有效检测报告复印件证明，并加盖投标人公章)</w:t>
      </w:r>
    </w:p>
    <w:p w14:paraId="4CAF5F86">
      <w:pPr>
        <w:widowControl/>
        <w:spacing w:before="100" w:beforeAutospacing="1" w:after="100" w:afterAutospacing="1" w:line="300" w:lineRule="atLeast"/>
        <w:jc w:val="left"/>
        <w:rPr>
          <w:rFonts w:ascii="宋体" w:hAnsi="宋体" w:eastAsia="宋体" w:cs="宋体"/>
          <w:kern w:val="0"/>
          <w:sz w:val="24"/>
          <w:szCs w:val="24"/>
        </w:rPr>
      </w:pPr>
      <w:r>
        <w:rPr>
          <w:rFonts w:hint="eastAsia" w:ascii="宋体" w:hAnsi="宋体" w:eastAsia="宋体" w:cs="宋体"/>
          <w:kern w:val="0"/>
          <w:sz w:val="24"/>
          <w:szCs w:val="24"/>
        </w:rPr>
        <w:t>▲2、数据库误操作快速恢复，支持删除数据库对象、删除表对象、重置表对象、清空表对象的数据等数据库误操作的快速恢复能力；（提供产品软件功能实现过程截图证明，并加盖投标人公章）</w:t>
      </w:r>
    </w:p>
    <w:p w14:paraId="7DC66091">
      <w:pPr>
        <w:widowControl/>
        <w:spacing w:before="100" w:beforeAutospacing="1" w:after="100" w:afterAutospacing="1" w:line="300" w:lineRule="atLeast"/>
        <w:jc w:val="left"/>
        <w:rPr>
          <w:rFonts w:ascii="宋体" w:hAnsi="宋体" w:eastAsia="宋体" w:cs="宋体"/>
          <w:kern w:val="0"/>
          <w:sz w:val="24"/>
          <w:szCs w:val="24"/>
        </w:rPr>
      </w:pPr>
      <w:r>
        <w:rPr>
          <w:rFonts w:hint="eastAsia" w:ascii="宋体" w:hAnsi="宋体" w:eastAsia="宋体" w:cs="宋体"/>
          <w:kern w:val="0"/>
          <w:sz w:val="24"/>
          <w:szCs w:val="24"/>
        </w:rPr>
        <w:t>▲3、支持查看整个SQL语句的性能追踪，计算节点执行时间、存储节点执行时间等信息详细展示；(提供具有CMA或CNAS标识的有效检测报告复印件证明，并加盖投标人公章)</w:t>
      </w:r>
    </w:p>
    <w:p w14:paraId="615D332E">
      <w:pPr>
        <w:widowControl/>
        <w:spacing w:before="100" w:beforeAutospacing="1" w:after="100" w:afterAutospacing="1" w:line="300" w:lineRule="atLeast"/>
        <w:jc w:val="left"/>
        <w:rPr>
          <w:rFonts w:ascii="宋体" w:hAnsi="宋体" w:eastAsia="宋体" w:cs="宋体"/>
          <w:kern w:val="0"/>
          <w:sz w:val="24"/>
          <w:szCs w:val="24"/>
        </w:rPr>
      </w:pPr>
      <w:r>
        <w:rPr>
          <w:rFonts w:hint="eastAsia" w:ascii="宋体" w:hAnsi="宋体" w:eastAsia="宋体" w:cs="宋体"/>
          <w:kern w:val="0"/>
          <w:sz w:val="24"/>
          <w:szCs w:val="24"/>
        </w:rPr>
        <w:t>▲4.支持死锁自动解除机制，支持秒级解除集群中跨库事务之间发生的锁资源争用、跨库事务与单库事务之间发生的锁资源争用，且出现资源争用环形的死锁；(提供具有CMA或CNAS标识的有效检测报告复印件证明，并加盖投标人公章)</w:t>
      </w:r>
    </w:p>
    <w:p w14:paraId="38DD462B">
      <w:pPr>
        <w:widowControl/>
        <w:spacing w:before="100" w:beforeAutospacing="1" w:after="100" w:afterAutospacing="1" w:line="300" w:lineRule="atLeast"/>
        <w:jc w:val="left"/>
        <w:rPr>
          <w:rFonts w:ascii="宋体" w:hAnsi="宋体" w:eastAsia="宋体" w:cs="宋体"/>
          <w:kern w:val="0"/>
          <w:sz w:val="24"/>
          <w:szCs w:val="24"/>
        </w:rPr>
      </w:pPr>
      <w:r>
        <w:rPr>
          <w:rFonts w:hint="eastAsia" w:ascii="宋体" w:hAnsi="宋体" w:eastAsia="宋体" w:cs="宋体"/>
          <w:kern w:val="0"/>
          <w:sz w:val="24"/>
          <w:szCs w:val="24"/>
        </w:rPr>
        <w:t>▲5、支持鲲鹏、海光、兆芯三种芯片厂家的国产化服务器；支持统信、麒麟、中科方德三种国产化的操作系统。（投标人承诺所投服务器与上述操作系统满足兼容性要求，并加盖投标人公章）</w:t>
      </w:r>
    </w:p>
    <w:p w14:paraId="3D54210F">
      <w:pPr>
        <w:widowControl/>
        <w:spacing w:before="100" w:beforeAutospacing="1" w:after="100" w:afterAutospacing="1" w:line="300" w:lineRule="atLeast"/>
        <w:jc w:val="left"/>
        <w:rPr>
          <w:rFonts w:ascii="宋体" w:hAnsi="宋体" w:eastAsia="宋体" w:cs="宋体"/>
          <w:kern w:val="0"/>
          <w:sz w:val="24"/>
          <w:szCs w:val="24"/>
        </w:rPr>
      </w:pPr>
      <w:r>
        <w:rPr>
          <w:rFonts w:hint="eastAsia" w:ascii="宋体" w:hAnsi="宋体" w:eastAsia="宋体" w:cs="宋体"/>
          <w:kern w:val="0"/>
          <w:sz w:val="24"/>
          <w:szCs w:val="24"/>
        </w:rPr>
        <w:t>■6、支持数据分片键有关和数据分片键无关的主键值的唯一约束功能，做到主键值的全局唯一性;支持数据分片键有关和数据分片键无关的唯一索引值的唯一约束功能，做到唯一索引值的全局唯一性；(提供具有CMA或CNAS标识的有效检测报告复印件证明，并加盖投标人公章)</w:t>
      </w:r>
    </w:p>
    <w:p w14:paraId="6F5F6FC4">
      <w:pPr>
        <w:widowControl/>
        <w:spacing w:before="100" w:beforeAutospacing="1" w:after="100" w:afterAutospacing="1" w:line="300" w:lineRule="atLeast"/>
        <w:jc w:val="left"/>
        <w:rPr>
          <w:rFonts w:ascii="宋体" w:hAnsi="宋体" w:eastAsia="宋体" w:cs="宋体"/>
          <w:kern w:val="0"/>
          <w:sz w:val="24"/>
          <w:szCs w:val="24"/>
        </w:rPr>
      </w:pPr>
      <w:r>
        <w:rPr>
          <w:rFonts w:hint="eastAsia" w:ascii="宋体" w:hAnsi="宋体" w:eastAsia="宋体" w:cs="宋体"/>
          <w:kern w:val="0"/>
          <w:sz w:val="24"/>
          <w:szCs w:val="24"/>
        </w:rPr>
        <w:t>■7、计算节点支持高可用，支持计算节点层的全局状态存储处理节点宕机到一个节点，即：计算节点和处理全局事务及负责路由业务请求的节点即使都宕机到最后一个节点，整个集群仍然可以对应用提供数据服务，不影响业务；(提供具有CMA或CNAS标识的有效检测报告复印件证明，并加盖投标人公章)</w:t>
      </w:r>
    </w:p>
    <w:p w14:paraId="3EB38C44">
      <w:pPr>
        <w:widowControl/>
        <w:spacing w:before="100" w:beforeAutospacing="1" w:after="100" w:afterAutospacing="1" w:line="300" w:lineRule="atLeast"/>
        <w:jc w:val="left"/>
        <w:rPr>
          <w:rFonts w:ascii="宋体" w:hAnsi="宋体" w:eastAsia="宋体" w:cs="宋体"/>
          <w:kern w:val="0"/>
          <w:sz w:val="24"/>
          <w:szCs w:val="24"/>
        </w:rPr>
      </w:pPr>
      <w:r>
        <w:rPr>
          <w:rFonts w:hint="eastAsia" w:ascii="宋体" w:hAnsi="宋体" w:eastAsia="宋体" w:cs="宋体"/>
          <w:kern w:val="0"/>
          <w:sz w:val="24"/>
          <w:szCs w:val="24"/>
        </w:rPr>
        <w:t>■8、支持在原有核心区分布式数据库的可视化平台上进行统一展示,且新增的数据库节点能在现有核心区分布式数据库集群上进行在线修改分片，实现业务的平滑扩容；（提供投标人的承诺函，并加盖投标人公章）</w:t>
      </w:r>
    </w:p>
    <w:p w14:paraId="60CE9C11">
      <w:pPr>
        <w:widowControl/>
        <w:spacing w:after="150" w:line="300" w:lineRule="atLeast"/>
        <w:jc w:val="left"/>
        <w:rPr>
          <w:rFonts w:ascii="宋体" w:hAnsi="宋体" w:eastAsia="宋体" w:cs="宋体"/>
          <w:kern w:val="0"/>
          <w:sz w:val="24"/>
          <w:szCs w:val="24"/>
        </w:rPr>
      </w:pPr>
      <w:r>
        <w:rPr>
          <w:rFonts w:hint="eastAsia" w:ascii="宋体" w:hAnsi="宋体" w:eastAsia="宋体" w:cs="宋体"/>
          <w:kern w:val="0"/>
          <w:sz w:val="24"/>
          <w:szCs w:val="24"/>
        </w:rPr>
        <w:t>■9、为保证运维人员可快速发现数据库的运行状态，投标人需提供1块同品 牌≥65英寸LED平板大屏电视,具备监控及视频会议功能。设备采用全贴合工艺，钢化玻璃与液晶面板之间距离为0mm，无任何间隙，书写无悬空感，整机最薄处≤27mm，内置≥8颗麦克风阵列，≥12米拾音距离；支持NFC传屏和Wi-Fi 6功能，且设备可作为云桌面瘦终端与云桌面服务器进行接入使用。（提供具有CMA或CNAS标识的有效检测报告证明，并加盖投标人公章）</w:t>
      </w:r>
    </w:p>
    <w:p w14:paraId="66D848B1">
      <w:pPr>
        <w:widowControl/>
        <w:spacing w:after="150"/>
        <w:jc w:val="left"/>
        <w:rPr>
          <w:rFonts w:ascii="宋体" w:hAnsi="宋体" w:eastAsia="宋体" w:cs="宋体"/>
          <w:kern w:val="0"/>
          <w:sz w:val="24"/>
          <w:szCs w:val="24"/>
        </w:rPr>
      </w:pPr>
      <w:r>
        <w:rPr>
          <w:rFonts w:hint="eastAsia" w:ascii="宋体" w:hAnsi="宋体" w:eastAsia="宋体" w:cs="宋体"/>
          <w:kern w:val="0"/>
          <w:sz w:val="24"/>
          <w:szCs w:val="24"/>
        </w:rPr>
        <w:br w:type="textWrapping"/>
      </w:r>
      <w:r>
        <w:rPr>
          <w:rFonts w:hint="eastAsia" w:ascii="宋体" w:hAnsi="宋体" w:eastAsia="宋体" w:cs="宋体"/>
          <w:kern w:val="0"/>
          <w:sz w:val="24"/>
          <w:szCs w:val="24"/>
        </w:rPr>
        <w:br w:type="textWrapping"/>
      </w:r>
    </w:p>
    <w:p w14:paraId="169C30B2">
      <w:pPr>
        <w:widowControl/>
        <w:spacing w:after="150"/>
        <w:jc w:val="left"/>
        <w:rPr>
          <w:rFonts w:ascii="宋体" w:hAnsi="宋体" w:eastAsia="宋体" w:cs="宋体"/>
          <w:kern w:val="0"/>
          <w:sz w:val="24"/>
          <w:szCs w:val="24"/>
        </w:rPr>
      </w:pPr>
      <w:r>
        <w:rPr>
          <w:rFonts w:hint="eastAsia" w:ascii="宋体" w:hAnsi="宋体" w:eastAsia="宋体" w:cs="宋体"/>
          <w:b/>
          <w:bCs/>
          <w:kern w:val="0"/>
          <w:sz w:val="29"/>
          <w:szCs w:val="29"/>
        </w:rPr>
        <w:t> </w:t>
      </w:r>
    </w:p>
    <w:p w14:paraId="776107EA">
      <w:pPr>
        <w:widowControl/>
        <w:spacing w:before="300" w:after="150"/>
        <w:jc w:val="left"/>
        <w:rPr>
          <w:rFonts w:ascii="宋体" w:hAnsi="宋体" w:eastAsia="宋体" w:cs="宋体"/>
          <w:kern w:val="0"/>
          <w:sz w:val="24"/>
          <w:szCs w:val="24"/>
        </w:rPr>
      </w:pPr>
      <w:r>
        <w:rPr>
          <w:rFonts w:hint="eastAsia" w:ascii="宋体" w:hAnsi="宋体" w:eastAsia="宋体" w:cs="宋体"/>
          <w:kern w:val="0"/>
          <w:sz w:val="24"/>
          <w:szCs w:val="24"/>
        </w:rPr>
        <w:t>1.4</w:t>
      </w:r>
      <w:r>
        <w:rPr>
          <w:rFonts w:ascii="Times New Roman" w:hAnsi="Times New Roman" w:eastAsia="宋体" w:cs="Times New Roman"/>
          <w:kern w:val="0"/>
          <w:sz w:val="14"/>
          <w:szCs w:val="14"/>
        </w:rPr>
        <w:t>  </w:t>
      </w:r>
      <w:r>
        <w:rPr>
          <w:rFonts w:hint="eastAsia" w:ascii="宋体" w:hAnsi="宋体" w:eastAsia="宋体" w:cs="宋体"/>
          <w:kern w:val="0"/>
          <w:sz w:val="24"/>
          <w:szCs w:val="24"/>
        </w:rPr>
        <w:t>网络建设</w:t>
      </w:r>
    </w:p>
    <w:p w14:paraId="60824DD3">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b/>
          <w:bCs/>
          <w:kern w:val="0"/>
          <w:sz w:val="24"/>
          <w:szCs w:val="24"/>
        </w:rPr>
        <w:t>基础规格参数</w:t>
      </w:r>
    </w:p>
    <w:tbl>
      <w:tblPr>
        <w:tblStyle w:val="9"/>
        <w:tblW w:w="0" w:type="auto"/>
        <w:tblInd w:w="0" w:type="dxa"/>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483"/>
        <w:gridCol w:w="815"/>
        <w:gridCol w:w="3858"/>
        <w:gridCol w:w="484"/>
        <w:gridCol w:w="1196"/>
        <w:gridCol w:w="1196"/>
        <w:gridCol w:w="484"/>
      </w:tblGrid>
      <w:tr w14:paraId="4E988E77">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0" w:type="auto"/>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F6FDC6B">
            <w:pPr>
              <w:widowControl/>
              <w:spacing w:after="150"/>
              <w:jc w:val="center"/>
              <w:rPr>
                <w:rFonts w:ascii="宋体" w:hAnsi="宋体" w:eastAsia="宋体" w:cs="宋体"/>
                <w:kern w:val="0"/>
                <w:sz w:val="24"/>
                <w:szCs w:val="24"/>
              </w:rPr>
            </w:pPr>
            <w:r>
              <w:rPr>
                <w:rFonts w:hint="eastAsia" w:ascii="宋体" w:hAnsi="宋体" w:eastAsia="宋体" w:cs="宋体"/>
                <w:b/>
                <w:bCs/>
                <w:color w:val="000000"/>
                <w:kern w:val="0"/>
                <w:sz w:val="23"/>
                <w:szCs w:val="23"/>
              </w:rPr>
              <w:t>序号</w:t>
            </w:r>
          </w:p>
        </w:tc>
        <w:tc>
          <w:tcPr>
            <w:tcW w:w="0" w:type="auto"/>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8FB21CE">
            <w:pPr>
              <w:widowControl/>
              <w:spacing w:after="150"/>
              <w:jc w:val="center"/>
              <w:rPr>
                <w:rFonts w:ascii="宋体" w:hAnsi="宋体" w:eastAsia="宋体" w:cs="宋体"/>
                <w:kern w:val="0"/>
                <w:sz w:val="24"/>
                <w:szCs w:val="24"/>
              </w:rPr>
            </w:pPr>
            <w:r>
              <w:rPr>
                <w:rFonts w:hint="eastAsia" w:ascii="宋体" w:hAnsi="宋体" w:eastAsia="宋体" w:cs="宋体"/>
                <w:b/>
                <w:bCs/>
                <w:color w:val="000000"/>
                <w:kern w:val="0"/>
                <w:sz w:val="23"/>
                <w:szCs w:val="23"/>
              </w:rPr>
              <w:t>名 称</w:t>
            </w:r>
          </w:p>
        </w:tc>
        <w:tc>
          <w:tcPr>
            <w:tcW w:w="0" w:type="auto"/>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6B9FCA4">
            <w:pPr>
              <w:widowControl/>
              <w:spacing w:after="150"/>
              <w:jc w:val="center"/>
              <w:rPr>
                <w:rFonts w:ascii="宋体" w:hAnsi="宋体" w:eastAsia="宋体" w:cs="宋体"/>
                <w:kern w:val="0"/>
                <w:sz w:val="24"/>
                <w:szCs w:val="24"/>
              </w:rPr>
            </w:pPr>
            <w:r>
              <w:rPr>
                <w:rFonts w:hint="eastAsia" w:ascii="宋体" w:hAnsi="宋体" w:eastAsia="宋体" w:cs="宋体"/>
                <w:b/>
                <w:bCs/>
                <w:color w:val="000000"/>
                <w:kern w:val="0"/>
                <w:sz w:val="23"/>
                <w:szCs w:val="23"/>
              </w:rPr>
              <w:t>基础规格参数</w:t>
            </w:r>
          </w:p>
        </w:tc>
        <w:tc>
          <w:tcPr>
            <w:tcW w:w="0" w:type="auto"/>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E5E7E41">
            <w:pPr>
              <w:widowControl/>
              <w:spacing w:after="150"/>
              <w:jc w:val="center"/>
              <w:rPr>
                <w:rFonts w:ascii="宋体" w:hAnsi="宋体" w:eastAsia="宋体" w:cs="宋体"/>
                <w:kern w:val="0"/>
                <w:sz w:val="24"/>
                <w:szCs w:val="24"/>
              </w:rPr>
            </w:pPr>
            <w:r>
              <w:rPr>
                <w:rFonts w:hint="eastAsia" w:ascii="宋体" w:hAnsi="宋体" w:eastAsia="宋体" w:cs="宋体"/>
                <w:b/>
                <w:bCs/>
                <w:color w:val="000000"/>
                <w:kern w:val="0"/>
                <w:sz w:val="23"/>
                <w:szCs w:val="23"/>
              </w:rPr>
              <w:t>单位</w:t>
            </w:r>
          </w:p>
        </w:tc>
        <w:tc>
          <w:tcPr>
            <w:tcW w:w="0" w:type="auto"/>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5AB43FA">
            <w:pPr>
              <w:widowControl/>
              <w:spacing w:after="150"/>
              <w:jc w:val="center"/>
              <w:rPr>
                <w:rFonts w:ascii="宋体" w:hAnsi="宋体" w:eastAsia="宋体" w:cs="宋体"/>
                <w:kern w:val="0"/>
                <w:sz w:val="24"/>
                <w:szCs w:val="24"/>
              </w:rPr>
            </w:pPr>
            <w:r>
              <w:rPr>
                <w:rFonts w:hint="eastAsia" w:ascii="宋体" w:hAnsi="宋体" w:eastAsia="宋体" w:cs="宋体"/>
                <w:b/>
                <w:bCs/>
                <w:color w:val="000000"/>
                <w:kern w:val="0"/>
                <w:sz w:val="23"/>
                <w:szCs w:val="23"/>
              </w:rPr>
              <w:t>数据</w:t>
            </w:r>
            <w:r>
              <w:rPr>
                <w:rFonts w:hint="eastAsia" w:ascii="宋体" w:hAnsi="宋体" w:eastAsia="宋体" w:cs="宋体"/>
                <w:b/>
                <w:bCs/>
                <w:color w:val="000000"/>
                <w:kern w:val="0"/>
                <w:sz w:val="23"/>
                <w:szCs w:val="23"/>
              </w:rPr>
              <w:br w:type="textWrapping"/>
            </w:r>
            <w:r>
              <w:rPr>
                <w:rFonts w:hint="eastAsia" w:ascii="宋体" w:hAnsi="宋体" w:eastAsia="宋体" w:cs="宋体"/>
                <w:b/>
                <w:bCs/>
                <w:color w:val="000000"/>
                <w:kern w:val="0"/>
                <w:sz w:val="23"/>
                <w:szCs w:val="23"/>
              </w:rPr>
              <w:t>    中心A</w:t>
            </w:r>
          </w:p>
        </w:tc>
        <w:tc>
          <w:tcPr>
            <w:tcW w:w="0" w:type="auto"/>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3D6232B">
            <w:pPr>
              <w:widowControl/>
              <w:spacing w:after="150"/>
              <w:jc w:val="center"/>
              <w:rPr>
                <w:rFonts w:ascii="宋体" w:hAnsi="宋体" w:eastAsia="宋体" w:cs="宋体"/>
                <w:kern w:val="0"/>
                <w:sz w:val="24"/>
                <w:szCs w:val="24"/>
              </w:rPr>
            </w:pPr>
            <w:r>
              <w:rPr>
                <w:rFonts w:hint="eastAsia" w:ascii="宋体" w:hAnsi="宋体" w:eastAsia="宋体" w:cs="宋体"/>
                <w:b/>
                <w:bCs/>
                <w:color w:val="000000"/>
                <w:kern w:val="0"/>
                <w:sz w:val="23"/>
                <w:szCs w:val="23"/>
              </w:rPr>
              <w:t>数据</w:t>
            </w:r>
            <w:r>
              <w:rPr>
                <w:rFonts w:hint="eastAsia" w:ascii="宋体" w:hAnsi="宋体" w:eastAsia="宋体" w:cs="宋体"/>
                <w:b/>
                <w:bCs/>
                <w:color w:val="000000"/>
                <w:kern w:val="0"/>
                <w:sz w:val="23"/>
                <w:szCs w:val="23"/>
              </w:rPr>
              <w:br w:type="textWrapping"/>
            </w:r>
            <w:r>
              <w:rPr>
                <w:rFonts w:hint="eastAsia" w:ascii="宋体" w:hAnsi="宋体" w:eastAsia="宋体" w:cs="宋体"/>
                <w:b/>
                <w:bCs/>
                <w:color w:val="000000"/>
                <w:kern w:val="0"/>
                <w:sz w:val="23"/>
                <w:szCs w:val="23"/>
              </w:rPr>
              <w:t>    中心B</w:t>
            </w:r>
          </w:p>
        </w:tc>
        <w:tc>
          <w:tcPr>
            <w:tcW w:w="0" w:type="auto"/>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829C5E7">
            <w:pPr>
              <w:widowControl/>
              <w:spacing w:after="150"/>
              <w:jc w:val="center"/>
              <w:rPr>
                <w:rFonts w:ascii="宋体" w:hAnsi="宋体" w:eastAsia="宋体" w:cs="宋体"/>
                <w:kern w:val="0"/>
                <w:sz w:val="24"/>
                <w:szCs w:val="24"/>
              </w:rPr>
            </w:pPr>
            <w:r>
              <w:rPr>
                <w:rFonts w:hint="eastAsia" w:ascii="宋体" w:hAnsi="宋体" w:eastAsia="宋体" w:cs="宋体"/>
                <w:b/>
                <w:bCs/>
                <w:color w:val="000000"/>
                <w:kern w:val="0"/>
                <w:sz w:val="23"/>
                <w:szCs w:val="23"/>
              </w:rPr>
              <w:t>合计</w:t>
            </w:r>
          </w:p>
        </w:tc>
      </w:tr>
      <w:tr w14:paraId="7E740479">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0" w:type="auto"/>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74F3F4E">
            <w:pPr>
              <w:widowControl/>
              <w:spacing w:after="150"/>
              <w:jc w:val="center"/>
              <w:rPr>
                <w:rFonts w:ascii="宋体" w:hAnsi="宋体" w:eastAsia="宋体" w:cs="宋体"/>
                <w:kern w:val="0"/>
                <w:sz w:val="24"/>
                <w:szCs w:val="24"/>
              </w:rPr>
            </w:pPr>
            <w:r>
              <w:rPr>
                <w:rFonts w:hint="eastAsia" w:ascii="宋体" w:hAnsi="宋体" w:eastAsia="宋体" w:cs="宋体"/>
                <w:b/>
                <w:bCs/>
                <w:color w:val="000000"/>
                <w:kern w:val="0"/>
                <w:sz w:val="23"/>
                <w:szCs w:val="23"/>
              </w:rPr>
              <w:t>三</w:t>
            </w:r>
          </w:p>
        </w:tc>
        <w:tc>
          <w:tcPr>
            <w:tcW w:w="0" w:type="auto"/>
            <w:gridSpan w:val="6"/>
            <w:tcBorders>
              <w:top w:val="nil"/>
              <w:left w:val="nil"/>
              <w:bottom w:val="single" w:color="auto" w:sz="6" w:space="0"/>
              <w:right w:val="nil"/>
            </w:tcBorders>
            <w:shd w:val="clear" w:color="auto" w:fill="FFFFFF"/>
            <w:tcMar>
              <w:top w:w="0" w:type="dxa"/>
              <w:left w:w="105" w:type="dxa"/>
              <w:bottom w:w="0" w:type="dxa"/>
              <w:right w:w="105" w:type="dxa"/>
            </w:tcMar>
            <w:vAlign w:val="center"/>
          </w:tcPr>
          <w:p w14:paraId="5F6791CF">
            <w:pPr>
              <w:widowControl/>
              <w:spacing w:after="150"/>
              <w:jc w:val="left"/>
              <w:rPr>
                <w:rFonts w:ascii="宋体" w:hAnsi="宋体" w:eastAsia="宋体" w:cs="宋体"/>
                <w:kern w:val="0"/>
                <w:sz w:val="24"/>
                <w:szCs w:val="24"/>
              </w:rPr>
            </w:pPr>
            <w:r>
              <w:rPr>
                <w:rFonts w:hint="eastAsia" w:ascii="宋体" w:hAnsi="宋体" w:eastAsia="宋体" w:cs="宋体"/>
                <w:b/>
                <w:bCs/>
                <w:color w:val="000000"/>
                <w:kern w:val="0"/>
                <w:sz w:val="23"/>
                <w:szCs w:val="23"/>
              </w:rPr>
              <w:t>网络设备</w:t>
            </w:r>
          </w:p>
        </w:tc>
      </w:tr>
      <w:tr w14:paraId="770218E0">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0" w:type="auto"/>
            <w:vMerge w:val="restart"/>
            <w:tcBorders>
              <w:top w:val="nil"/>
              <w:left w:val="single" w:color="auto" w:sz="6" w:space="0"/>
              <w:bottom w:val="single" w:color="000000" w:sz="6" w:space="0"/>
              <w:right w:val="single" w:color="auto" w:sz="6" w:space="0"/>
            </w:tcBorders>
            <w:shd w:val="clear" w:color="auto" w:fill="FFFFFF"/>
            <w:tcMar>
              <w:top w:w="0" w:type="dxa"/>
              <w:left w:w="105" w:type="dxa"/>
              <w:bottom w:w="0" w:type="dxa"/>
              <w:right w:w="105" w:type="dxa"/>
            </w:tcMar>
            <w:vAlign w:val="center"/>
          </w:tcPr>
          <w:p w14:paraId="62A398F9">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10</w:t>
            </w:r>
          </w:p>
        </w:tc>
        <w:tc>
          <w:tcPr>
            <w:tcW w:w="0" w:type="auto"/>
            <w:vMerge w:val="restart"/>
            <w:tcBorders>
              <w:top w:val="nil"/>
              <w:left w:val="nil"/>
              <w:bottom w:val="single" w:color="000000" w:sz="6" w:space="0"/>
              <w:right w:val="single" w:color="auto" w:sz="6" w:space="0"/>
            </w:tcBorders>
            <w:shd w:val="clear" w:color="auto" w:fill="FFFFFF"/>
            <w:tcMar>
              <w:top w:w="0" w:type="dxa"/>
              <w:left w:w="105" w:type="dxa"/>
              <w:bottom w:w="0" w:type="dxa"/>
              <w:right w:w="105" w:type="dxa"/>
            </w:tcMar>
            <w:vAlign w:val="center"/>
          </w:tcPr>
          <w:p w14:paraId="1ECA94BF">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服务器接入交换机</w:t>
            </w: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1B272D0">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1、交换容量≥4.8Tbps，包转发率≥ 1600Mpps。</w:t>
            </w:r>
          </w:p>
        </w:tc>
        <w:tc>
          <w:tcPr>
            <w:tcW w:w="0" w:type="auto"/>
            <w:vMerge w:val="restart"/>
            <w:tcBorders>
              <w:top w:val="nil"/>
              <w:left w:val="nil"/>
              <w:bottom w:val="single" w:color="000000" w:sz="6" w:space="0"/>
              <w:right w:val="single" w:color="auto" w:sz="6" w:space="0"/>
            </w:tcBorders>
            <w:shd w:val="clear" w:color="auto" w:fill="FFFFFF"/>
            <w:tcMar>
              <w:top w:w="0" w:type="dxa"/>
              <w:left w:w="105" w:type="dxa"/>
              <w:bottom w:w="0" w:type="dxa"/>
              <w:right w:w="105" w:type="dxa"/>
            </w:tcMar>
            <w:vAlign w:val="center"/>
          </w:tcPr>
          <w:p w14:paraId="3C9934AF">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台</w:t>
            </w:r>
          </w:p>
        </w:tc>
        <w:tc>
          <w:tcPr>
            <w:tcW w:w="0" w:type="auto"/>
            <w:vMerge w:val="restart"/>
            <w:tcBorders>
              <w:top w:val="nil"/>
              <w:left w:val="nil"/>
              <w:bottom w:val="single" w:color="000000" w:sz="6" w:space="0"/>
              <w:right w:val="single" w:color="auto" w:sz="6" w:space="0"/>
            </w:tcBorders>
            <w:shd w:val="clear" w:color="auto" w:fill="FFFFFF"/>
            <w:tcMar>
              <w:top w:w="0" w:type="dxa"/>
              <w:left w:w="105" w:type="dxa"/>
              <w:bottom w:w="0" w:type="dxa"/>
              <w:right w:w="105" w:type="dxa"/>
            </w:tcMar>
            <w:vAlign w:val="center"/>
          </w:tcPr>
          <w:p w14:paraId="656BB612">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16</w:t>
            </w:r>
          </w:p>
        </w:tc>
        <w:tc>
          <w:tcPr>
            <w:tcW w:w="0" w:type="auto"/>
            <w:vMerge w:val="restart"/>
            <w:tcBorders>
              <w:top w:val="nil"/>
              <w:left w:val="nil"/>
              <w:bottom w:val="single" w:color="000000" w:sz="6" w:space="0"/>
              <w:right w:val="single" w:color="auto" w:sz="6" w:space="0"/>
            </w:tcBorders>
            <w:shd w:val="clear" w:color="auto" w:fill="FFFFFF"/>
            <w:tcMar>
              <w:top w:w="0" w:type="dxa"/>
              <w:left w:w="105" w:type="dxa"/>
              <w:bottom w:w="0" w:type="dxa"/>
              <w:right w:w="105" w:type="dxa"/>
            </w:tcMar>
            <w:vAlign w:val="center"/>
          </w:tcPr>
          <w:p w14:paraId="4814A2CF">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10</w:t>
            </w:r>
          </w:p>
        </w:tc>
        <w:tc>
          <w:tcPr>
            <w:tcW w:w="0" w:type="auto"/>
            <w:vMerge w:val="restart"/>
            <w:tcBorders>
              <w:top w:val="nil"/>
              <w:left w:val="nil"/>
              <w:bottom w:val="single" w:color="000000" w:sz="6" w:space="0"/>
              <w:right w:val="single" w:color="auto" w:sz="6" w:space="0"/>
            </w:tcBorders>
            <w:shd w:val="clear" w:color="auto" w:fill="FFFFFF"/>
            <w:tcMar>
              <w:top w:w="0" w:type="dxa"/>
              <w:left w:w="105" w:type="dxa"/>
              <w:bottom w:w="0" w:type="dxa"/>
              <w:right w:w="105" w:type="dxa"/>
            </w:tcMar>
            <w:vAlign w:val="center"/>
          </w:tcPr>
          <w:p w14:paraId="392325F4">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26</w:t>
            </w:r>
          </w:p>
        </w:tc>
      </w:tr>
      <w:tr w14:paraId="4F3FCD56">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0" w:type="auto"/>
            <w:vMerge w:val="continue"/>
            <w:tcBorders>
              <w:top w:val="nil"/>
              <w:left w:val="single" w:color="auto" w:sz="6" w:space="0"/>
              <w:bottom w:val="single" w:color="000000" w:sz="6" w:space="0"/>
              <w:right w:val="single" w:color="auto" w:sz="6" w:space="0"/>
            </w:tcBorders>
            <w:shd w:val="clear" w:color="auto" w:fill="auto"/>
            <w:vAlign w:val="center"/>
          </w:tcPr>
          <w:p w14:paraId="0A998175">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14:paraId="2326C0D3">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6275AAE">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2、配置≥6*40/100     GE光口，≥ 48*10GE光口。</w:t>
            </w:r>
          </w:p>
        </w:tc>
        <w:tc>
          <w:tcPr>
            <w:tcW w:w="0" w:type="auto"/>
            <w:vMerge w:val="continue"/>
            <w:tcBorders>
              <w:top w:val="nil"/>
              <w:left w:val="nil"/>
              <w:bottom w:val="single" w:color="000000" w:sz="6" w:space="0"/>
              <w:right w:val="single" w:color="auto" w:sz="6" w:space="0"/>
            </w:tcBorders>
            <w:shd w:val="clear" w:color="auto" w:fill="auto"/>
            <w:vAlign w:val="center"/>
          </w:tcPr>
          <w:p w14:paraId="51AF23A7">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14:paraId="0C90CBF2">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14:paraId="7F58608C">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14:paraId="1E473FE2">
            <w:pPr>
              <w:widowControl/>
              <w:jc w:val="left"/>
              <w:rPr>
                <w:rFonts w:ascii="宋体" w:hAnsi="宋体" w:eastAsia="宋体" w:cs="宋体"/>
                <w:kern w:val="0"/>
                <w:sz w:val="24"/>
                <w:szCs w:val="24"/>
              </w:rPr>
            </w:pPr>
          </w:p>
        </w:tc>
      </w:tr>
      <w:tr w14:paraId="655B6189">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0" w:type="auto"/>
            <w:vMerge w:val="continue"/>
            <w:tcBorders>
              <w:top w:val="nil"/>
              <w:left w:val="single" w:color="auto" w:sz="6" w:space="0"/>
              <w:bottom w:val="single" w:color="000000" w:sz="6" w:space="0"/>
              <w:right w:val="single" w:color="auto" w:sz="6" w:space="0"/>
            </w:tcBorders>
            <w:shd w:val="clear" w:color="auto" w:fill="auto"/>
            <w:vAlign w:val="center"/>
          </w:tcPr>
          <w:p w14:paraId="75456BA9">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14:paraId="1F7D846A">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D34936C">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3、配置 48个万兆多模光模块， 4个40GE多模光模块， 1条40G高速电缆。</w:t>
            </w:r>
          </w:p>
        </w:tc>
        <w:tc>
          <w:tcPr>
            <w:tcW w:w="0" w:type="auto"/>
            <w:vMerge w:val="continue"/>
            <w:tcBorders>
              <w:top w:val="nil"/>
              <w:left w:val="nil"/>
              <w:bottom w:val="single" w:color="000000" w:sz="6" w:space="0"/>
              <w:right w:val="single" w:color="auto" w:sz="6" w:space="0"/>
            </w:tcBorders>
            <w:shd w:val="clear" w:color="auto" w:fill="auto"/>
            <w:vAlign w:val="center"/>
          </w:tcPr>
          <w:p w14:paraId="2C815EAA">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14:paraId="76CD5913">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14:paraId="7C9CF8C2">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14:paraId="5B11E372">
            <w:pPr>
              <w:widowControl/>
              <w:jc w:val="left"/>
              <w:rPr>
                <w:rFonts w:ascii="宋体" w:hAnsi="宋体" w:eastAsia="宋体" w:cs="宋体"/>
                <w:kern w:val="0"/>
                <w:sz w:val="24"/>
                <w:szCs w:val="24"/>
              </w:rPr>
            </w:pPr>
          </w:p>
        </w:tc>
      </w:tr>
      <w:tr w14:paraId="1F0AB37B">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0" w:type="auto"/>
            <w:vMerge w:val="continue"/>
            <w:tcBorders>
              <w:top w:val="nil"/>
              <w:left w:val="single" w:color="auto" w:sz="6" w:space="0"/>
              <w:bottom w:val="single" w:color="000000" w:sz="6" w:space="0"/>
              <w:right w:val="single" w:color="auto" w:sz="6" w:space="0"/>
            </w:tcBorders>
            <w:shd w:val="clear" w:color="auto" w:fill="auto"/>
            <w:vAlign w:val="center"/>
          </w:tcPr>
          <w:p w14:paraId="5500D02F">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14:paraId="3F603855">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FF0990B">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4、配置 2个热拔插冗余交流电源，满配风扇模块。</w:t>
            </w:r>
          </w:p>
        </w:tc>
        <w:tc>
          <w:tcPr>
            <w:tcW w:w="0" w:type="auto"/>
            <w:vMerge w:val="continue"/>
            <w:tcBorders>
              <w:top w:val="nil"/>
              <w:left w:val="nil"/>
              <w:bottom w:val="single" w:color="000000" w:sz="6" w:space="0"/>
              <w:right w:val="single" w:color="auto" w:sz="6" w:space="0"/>
            </w:tcBorders>
            <w:shd w:val="clear" w:color="auto" w:fill="auto"/>
            <w:vAlign w:val="center"/>
          </w:tcPr>
          <w:p w14:paraId="5CED5BAB">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14:paraId="6FC9EB7F">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14:paraId="7ECB9D68">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14:paraId="3830EB7A">
            <w:pPr>
              <w:widowControl/>
              <w:jc w:val="left"/>
              <w:rPr>
                <w:rFonts w:ascii="宋体" w:hAnsi="宋体" w:eastAsia="宋体" w:cs="宋体"/>
                <w:kern w:val="0"/>
                <w:sz w:val="24"/>
                <w:szCs w:val="24"/>
              </w:rPr>
            </w:pPr>
          </w:p>
        </w:tc>
      </w:tr>
      <w:tr w14:paraId="4D1F28C9">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0" w:type="auto"/>
            <w:vMerge w:val="continue"/>
            <w:tcBorders>
              <w:top w:val="nil"/>
              <w:left w:val="single" w:color="auto" w:sz="6" w:space="0"/>
              <w:bottom w:val="single" w:color="000000" w:sz="6" w:space="0"/>
              <w:right w:val="single" w:color="auto" w:sz="6" w:space="0"/>
            </w:tcBorders>
            <w:shd w:val="clear" w:color="auto" w:fill="auto"/>
            <w:vAlign w:val="center"/>
          </w:tcPr>
          <w:p w14:paraId="3049C97E">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14:paraId="3A3DB7F8">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0A1B64D">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5、配置SDN、VXLAN功能。</w:t>
            </w:r>
          </w:p>
        </w:tc>
        <w:tc>
          <w:tcPr>
            <w:tcW w:w="0" w:type="auto"/>
            <w:vMerge w:val="continue"/>
            <w:tcBorders>
              <w:top w:val="nil"/>
              <w:left w:val="nil"/>
              <w:bottom w:val="single" w:color="000000" w:sz="6" w:space="0"/>
              <w:right w:val="single" w:color="auto" w:sz="6" w:space="0"/>
            </w:tcBorders>
            <w:shd w:val="clear" w:color="auto" w:fill="auto"/>
            <w:vAlign w:val="center"/>
          </w:tcPr>
          <w:p w14:paraId="50BBFE7A">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14:paraId="4B9065ED">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14:paraId="316DD156">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14:paraId="2EF3B7BA">
            <w:pPr>
              <w:widowControl/>
              <w:jc w:val="left"/>
              <w:rPr>
                <w:rFonts w:ascii="宋体" w:hAnsi="宋体" w:eastAsia="宋体" w:cs="宋体"/>
                <w:kern w:val="0"/>
                <w:sz w:val="24"/>
                <w:szCs w:val="24"/>
              </w:rPr>
            </w:pPr>
          </w:p>
        </w:tc>
      </w:tr>
      <w:tr w14:paraId="2EF74507">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930" w:hRule="atLeast"/>
        </w:trPr>
        <w:tc>
          <w:tcPr>
            <w:tcW w:w="0" w:type="auto"/>
            <w:vMerge w:val="continue"/>
            <w:tcBorders>
              <w:top w:val="nil"/>
              <w:left w:val="single" w:color="auto" w:sz="6" w:space="0"/>
              <w:bottom w:val="single" w:color="000000" w:sz="6" w:space="0"/>
              <w:right w:val="single" w:color="auto" w:sz="6" w:space="0"/>
            </w:tcBorders>
            <w:shd w:val="clear" w:color="auto" w:fill="auto"/>
            <w:vAlign w:val="center"/>
          </w:tcPr>
          <w:p w14:paraId="44B19EE0">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14:paraId="45CBC6E2">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7F2105C">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6、支持多个物理端口的流量镜像到一个端口</w:t>
            </w:r>
          </w:p>
        </w:tc>
        <w:tc>
          <w:tcPr>
            <w:tcW w:w="0" w:type="auto"/>
            <w:vMerge w:val="continue"/>
            <w:tcBorders>
              <w:top w:val="nil"/>
              <w:left w:val="nil"/>
              <w:bottom w:val="single" w:color="000000" w:sz="6" w:space="0"/>
              <w:right w:val="single" w:color="auto" w:sz="6" w:space="0"/>
            </w:tcBorders>
            <w:shd w:val="clear" w:color="auto" w:fill="auto"/>
            <w:vAlign w:val="center"/>
          </w:tcPr>
          <w:p w14:paraId="3F736FE7">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14:paraId="43A7384F">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14:paraId="258A3500">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14:paraId="37263F65">
            <w:pPr>
              <w:widowControl/>
              <w:jc w:val="left"/>
              <w:rPr>
                <w:rFonts w:ascii="宋体" w:hAnsi="宋体" w:eastAsia="宋体" w:cs="宋体"/>
                <w:kern w:val="0"/>
                <w:sz w:val="24"/>
                <w:szCs w:val="24"/>
              </w:rPr>
            </w:pPr>
          </w:p>
        </w:tc>
      </w:tr>
      <w:tr w14:paraId="2B2F4F66">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930" w:hRule="atLeast"/>
        </w:trPr>
        <w:tc>
          <w:tcPr>
            <w:tcW w:w="0" w:type="auto"/>
            <w:vMerge w:val="continue"/>
            <w:tcBorders>
              <w:top w:val="nil"/>
              <w:left w:val="single" w:color="auto" w:sz="6" w:space="0"/>
              <w:bottom w:val="single" w:color="000000" w:sz="6" w:space="0"/>
              <w:right w:val="single" w:color="auto" w:sz="6" w:space="0"/>
            </w:tcBorders>
            <w:shd w:val="clear" w:color="auto" w:fill="auto"/>
            <w:vAlign w:val="center"/>
          </w:tcPr>
          <w:p w14:paraId="0B5FC1A5">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14:paraId="435897D9">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EC628D9">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7、新增交换机需要与现有核心区SDN控制器无缝对接，并能够接受SDN控制器下发的配置进行业务自动开通。</w:t>
            </w:r>
          </w:p>
        </w:tc>
        <w:tc>
          <w:tcPr>
            <w:tcW w:w="0" w:type="auto"/>
            <w:vMerge w:val="continue"/>
            <w:tcBorders>
              <w:top w:val="nil"/>
              <w:left w:val="nil"/>
              <w:bottom w:val="single" w:color="000000" w:sz="6" w:space="0"/>
              <w:right w:val="single" w:color="auto" w:sz="6" w:space="0"/>
            </w:tcBorders>
            <w:shd w:val="clear" w:color="auto" w:fill="auto"/>
            <w:vAlign w:val="center"/>
          </w:tcPr>
          <w:p w14:paraId="2DE736EB">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14:paraId="716C8C54">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14:paraId="33893038">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14:paraId="226A6C8E">
            <w:pPr>
              <w:widowControl/>
              <w:jc w:val="left"/>
              <w:rPr>
                <w:rFonts w:ascii="宋体" w:hAnsi="宋体" w:eastAsia="宋体" w:cs="宋体"/>
                <w:kern w:val="0"/>
                <w:sz w:val="24"/>
                <w:szCs w:val="24"/>
              </w:rPr>
            </w:pPr>
          </w:p>
        </w:tc>
      </w:tr>
      <w:tr w14:paraId="6429AB77">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0" w:type="auto"/>
            <w:vMerge w:val="restart"/>
            <w:tcBorders>
              <w:top w:val="nil"/>
              <w:left w:val="single" w:color="auto" w:sz="6" w:space="0"/>
              <w:bottom w:val="single" w:color="000000" w:sz="6" w:space="0"/>
              <w:right w:val="single" w:color="auto" w:sz="6" w:space="0"/>
            </w:tcBorders>
            <w:shd w:val="clear" w:color="auto" w:fill="FFFFFF"/>
            <w:tcMar>
              <w:top w:w="0" w:type="dxa"/>
              <w:left w:w="105" w:type="dxa"/>
              <w:bottom w:w="0" w:type="dxa"/>
              <w:right w:w="105" w:type="dxa"/>
            </w:tcMar>
            <w:vAlign w:val="center"/>
          </w:tcPr>
          <w:p w14:paraId="2FCED53D">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11</w:t>
            </w:r>
          </w:p>
        </w:tc>
        <w:tc>
          <w:tcPr>
            <w:tcW w:w="0" w:type="auto"/>
            <w:vMerge w:val="restart"/>
            <w:tcBorders>
              <w:top w:val="nil"/>
              <w:left w:val="nil"/>
              <w:bottom w:val="single" w:color="000000" w:sz="6" w:space="0"/>
              <w:right w:val="single" w:color="auto" w:sz="6" w:space="0"/>
            </w:tcBorders>
            <w:shd w:val="clear" w:color="auto" w:fill="FFFFFF"/>
            <w:tcMar>
              <w:top w:w="0" w:type="dxa"/>
              <w:left w:w="105" w:type="dxa"/>
              <w:bottom w:w="0" w:type="dxa"/>
              <w:right w:w="105" w:type="dxa"/>
            </w:tcMar>
            <w:vAlign w:val="center"/>
          </w:tcPr>
          <w:p w14:paraId="64D5C3FA">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带外管理交换机</w:t>
            </w: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6677870">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1、交换容量≥432Gbps，包转发率≥166Mpps。</w:t>
            </w:r>
          </w:p>
        </w:tc>
        <w:tc>
          <w:tcPr>
            <w:tcW w:w="0" w:type="auto"/>
            <w:vMerge w:val="restart"/>
            <w:tcBorders>
              <w:top w:val="nil"/>
              <w:left w:val="nil"/>
              <w:bottom w:val="single" w:color="000000" w:sz="6" w:space="0"/>
              <w:right w:val="single" w:color="auto" w:sz="6" w:space="0"/>
            </w:tcBorders>
            <w:shd w:val="clear" w:color="auto" w:fill="FFFFFF"/>
            <w:tcMar>
              <w:top w:w="0" w:type="dxa"/>
              <w:left w:w="105" w:type="dxa"/>
              <w:bottom w:w="0" w:type="dxa"/>
              <w:right w:w="105" w:type="dxa"/>
            </w:tcMar>
            <w:vAlign w:val="center"/>
          </w:tcPr>
          <w:p w14:paraId="2B3CF2B9">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台</w:t>
            </w:r>
          </w:p>
        </w:tc>
        <w:tc>
          <w:tcPr>
            <w:tcW w:w="0" w:type="auto"/>
            <w:vMerge w:val="restart"/>
            <w:tcBorders>
              <w:top w:val="nil"/>
              <w:left w:val="nil"/>
              <w:bottom w:val="single" w:color="000000" w:sz="6" w:space="0"/>
              <w:right w:val="single" w:color="auto" w:sz="6" w:space="0"/>
            </w:tcBorders>
            <w:shd w:val="clear" w:color="auto" w:fill="FFFFFF"/>
            <w:tcMar>
              <w:top w:w="0" w:type="dxa"/>
              <w:left w:w="105" w:type="dxa"/>
              <w:bottom w:w="0" w:type="dxa"/>
              <w:right w:w="105" w:type="dxa"/>
            </w:tcMar>
            <w:vAlign w:val="center"/>
          </w:tcPr>
          <w:p w14:paraId="0B05BA42">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8</w:t>
            </w:r>
          </w:p>
        </w:tc>
        <w:tc>
          <w:tcPr>
            <w:tcW w:w="0" w:type="auto"/>
            <w:vMerge w:val="restart"/>
            <w:tcBorders>
              <w:top w:val="nil"/>
              <w:left w:val="nil"/>
              <w:bottom w:val="single" w:color="000000" w:sz="6" w:space="0"/>
              <w:right w:val="single" w:color="auto" w:sz="6" w:space="0"/>
            </w:tcBorders>
            <w:shd w:val="clear" w:color="auto" w:fill="FFFFFF"/>
            <w:tcMar>
              <w:top w:w="0" w:type="dxa"/>
              <w:left w:w="105" w:type="dxa"/>
              <w:bottom w:w="0" w:type="dxa"/>
              <w:right w:w="105" w:type="dxa"/>
            </w:tcMar>
            <w:vAlign w:val="center"/>
          </w:tcPr>
          <w:p w14:paraId="263EB814">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10</w:t>
            </w:r>
          </w:p>
        </w:tc>
        <w:tc>
          <w:tcPr>
            <w:tcW w:w="0" w:type="auto"/>
            <w:vMerge w:val="restart"/>
            <w:tcBorders>
              <w:top w:val="nil"/>
              <w:left w:val="nil"/>
              <w:bottom w:val="single" w:color="000000" w:sz="6" w:space="0"/>
              <w:right w:val="single" w:color="auto" w:sz="6" w:space="0"/>
            </w:tcBorders>
            <w:shd w:val="clear" w:color="auto" w:fill="FFFFFF"/>
            <w:tcMar>
              <w:top w:w="0" w:type="dxa"/>
              <w:left w:w="105" w:type="dxa"/>
              <w:bottom w:w="0" w:type="dxa"/>
              <w:right w:w="105" w:type="dxa"/>
            </w:tcMar>
            <w:vAlign w:val="center"/>
          </w:tcPr>
          <w:p w14:paraId="05F5B4EF">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18</w:t>
            </w:r>
          </w:p>
        </w:tc>
      </w:tr>
      <w:tr w14:paraId="138DEC94">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930" w:hRule="atLeast"/>
        </w:trPr>
        <w:tc>
          <w:tcPr>
            <w:tcW w:w="0" w:type="auto"/>
            <w:vMerge w:val="continue"/>
            <w:tcBorders>
              <w:top w:val="nil"/>
              <w:left w:val="single" w:color="auto" w:sz="6" w:space="0"/>
              <w:bottom w:val="single" w:color="000000" w:sz="6" w:space="0"/>
              <w:right w:val="single" w:color="auto" w:sz="6" w:space="0"/>
            </w:tcBorders>
            <w:shd w:val="clear" w:color="auto" w:fill="auto"/>
            <w:vAlign w:val="center"/>
          </w:tcPr>
          <w:p w14:paraId="67B5DD5C">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14:paraId="15CBFBE1">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B518807">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2、配置≥48*10/100/1000Base-T以太网端口，≥4*10GE光口，满配多模模块。</w:t>
            </w:r>
          </w:p>
        </w:tc>
        <w:tc>
          <w:tcPr>
            <w:tcW w:w="0" w:type="auto"/>
            <w:vMerge w:val="continue"/>
            <w:tcBorders>
              <w:top w:val="nil"/>
              <w:left w:val="nil"/>
              <w:bottom w:val="single" w:color="000000" w:sz="6" w:space="0"/>
              <w:right w:val="single" w:color="auto" w:sz="6" w:space="0"/>
            </w:tcBorders>
            <w:shd w:val="clear" w:color="auto" w:fill="auto"/>
            <w:vAlign w:val="center"/>
          </w:tcPr>
          <w:p w14:paraId="1BDC6B3F">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14:paraId="0F7759E4">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14:paraId="7F9DEAC9">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14:paraId="357DCB17">
            <w:pPr>
              <w:widowControl/>
              <w:jc w:val="left"/>
              <w:rPr>
                <w:rFonts w:ascii="宋体" w:hAnsi="宋体" w:eastAsia="宋体" w:cs="宋体"/>
                <w:kern w:val="0"/>
                <w:sz w:val="24"/>
                <w:szCs w:val="24"/>
              </w:rPr>
            </w:pPr>
          </w:p>
        </w:tc>
      </w:tr>
      <w:tr w14:paraId="6166DDCA">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0" w:type="auto"/>
            <w:vMerge w:val="continue"/>
            <w:tcBorders>
              <w:top w:val="nil"/>
              <w:left w:val="single" w:color="auto" w:sz="6" w:space="0"/>
              <w:bottom w:val="single" w:color="000000" w:sz="6" w:space="0"/>
              <w:right w:val="single" w:color="auto" w:sz="6" w:space="0"/>
            </w:tcBorders>
            <w:shd w:val="clear" w:color="auto" w:fill="auto"/>
            <w:vAlign w:val="center"/>
          </w:tcPr>
          <w:p w14:paraId="7936A1AA">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14:paraId="49F720C8">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701745C">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3、配置2个热拔插冗余交流电源，内置满配风扇模块。</w:t>
            </w:r>
          </w:p>
        </w:tc>
        <w:tc>
          <w:tcPr>
            <w:tcW w:w="0" w:type="auto"/>
            <w:vMerge w:val="continue"/>
            <w:tcBorders>
              <w:top w:val="nil"/>
              <w:left w:val="nil"/>
              <w:bottom w:val="single" w:color="000000" w:sz="6" w:space="0"/>
              <w:right w:val="single" w:color="auto" w:sz="6" w:space="0"/>
            </w:tcBorders>
            <w:shd w:val="clear" w:color="auto" w:fill="auto"/>
            <w:vAlign w:val="center"/>
          </w:tcPr>
          <w:p w14:paraId="4132D141">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14:paraId="3F82CD44">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14:paraId="084AE9CD">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14:paraId="15A774CB">
            <w:pPr>
              <w:widowControl/>
              <w:jc w:val="left"/>
              <w:rPr>
                <w:rFonts w:ascii="宋体" w:hAnsi="宋体" w:eastAsia="宋体" w:cs="宋体"/>
                <w:kern w:val="0"/>
                <w:sz w:val="24"/>
                <w:szCs w:val="24"/>
              </w:rPr>
            </w:pPr>
          </w:p>
        </w:tc>
      </w:tr>
      <w:tr w14:paraId="0BAB5692">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585" w:hRule="atLeast"/>
        </w:trPr>
        <w:tc>
          <w:tcPr>
            <w:tcW w:w="0" w:type="auto"/>
            <w:vMerge w:val="continue"/>
            <w:tcBorders>
              <w:top w:val="nil"/>
              <w:left w:val="single" w:color="auto" w:sz="6" w:space="0"/>
              <w:bottom w:val="single" w:color="000000" w:sz="6" w:space="0"/>
              <w:right w:val="single" w:color="auto" w:sz="6" w:space="0"/>
            </w:tcBorders>
            <w:shd w:val="clear" w:color="auto" w:fill="auto"/>
            <w:vAlign w:val="center"/>
          </w:tcPr>
          <w:p w14:paraId="2CB95749">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14:paraId="165FBECD">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4D3F75B">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4、新增交换机需要与现有云平台SDN控制器无缝对接，能够接受云平台下发的网络配置进行自动业务开通。</w:t>
            </w:r>
          </w:p>
        </w:tc>
        <w:tc>
          <w:tcPr>
            <w:tcW w:w="0" w:type="auto"/>
            <w:vMerge w:val="continue"/>
            <w:tcBorders>
              <w:top w:val="nil"/>
              <w:left w:val="nil"/>
              <w:bottom w:val="single" w:color="000000" w:sz="6" w:space="0"/>
              <w:right w:val="single" w:color="auto" w:sz="6" w:space="0"/>
            </w:tcBorders>
            <w:shd w:val="clear" w:color="auto" w:fill="auto"/>
            <w:vAlign w:val="center"/>
          </w:tcPr>
          <w:p w14:paraId="36E9B781">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14:paraId="015CE522">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14:paraId="4E2A2A2A">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14:paraId="57BE8416">
            <w:pPr>
              <w:widowControl/>
              <w:jc w:val="left"/>
              <w:rPr>
                <w:rFonts w:ascii="宋体" w:hAnsi="宋体" w:eastAsia="宋体" w:cs="宋体"/>
                <w:kern w:val="0"/>
                <w:sz w:val="24"/>
                <w:szCs w:val="24"/>
              </w:rPr>
            </w:pPr>
          </w:p>
        </w:tc>
      </w:tr>
      <w:tr w14:paraId="6896605C">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615" w:hRule="atLeast"/>
        </w:trPr>
        <w:tc>
          <w:tcPr>
            <w:tcW w:w="0" w:type="auto"/>
            <w:vMerge w:val="restart"/>
            <w:tcBorders>
              <w:top w:val="nil"/>
              <w:left w:val="single" w:color="auto" w:sz="6" w:space="0"/>
              <w:bottom w:val="single" w:color="000000" w:sz="6" w:space="0"/>
              <w:right w:val="single" w:color="auto" w:sz="6" w:space="0"/>
            </w:tcBorders>
            <w:shd w:val="clear" w:color="auto" w:fill="FFFFFF"/>
            <w:tcMar>
              <w:top w:w="0" w:type="dxa"/>
              <w:left w:w="105" w:type="dxa"/>
              <w:bottom w:w="0" w:type="dxa"/>
              <w:right w:w="105" w:type="dxa"/>
            </w:tcMar>
            <w:vAlign w:val="center"/>
          </w:tcPr>
          <w:p w14:paraId="25A8260E">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12</w:t>
            </w:r>
          </w:p>
        </w:tc>
        <w:tc>
          <w:tcPr>
            <w:tcW w:w="0" w:type="auto"/>
            <w:vMerge w:val="restart"/>
            <w:tcBorders>
              <w:top w:val="nil"/>
              <w:left w:val="nil"/>
              <w:bottom w:val="single" w:color="000000" w:sz="6" w:space="0"/>
              <w:right w:val="single" w:color="auto" w:sz="6" w:space="0"/>
            </w:tcBorders>
            <w:shd w:val="clear" w:color="auto" w:fill="FFFFFF"/>
            <w:tcMar>
              <w:top w:w="0" w:type="dxa"/>
              <w:left w:w="105" w:type="dxa"/>
              <w:bottom w:w="0" w:type="dxa"/>
              <w:right w:w="105" w:type="dxa"/>
            </w:tcMar>
            <w:vAlign w:val="center"/>
          </w:tcPr>
          <w:p w14:paraId="376CA401">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内外网数据交换区交换机</w:t>
            </w: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201DCA4">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1、交换容量≥2.56Tbps，包转发率≥720Mpps。</w:t>
            </w:r>
          </w:p>
        </w:tc>
        <w:tc>
          <w:tcPr>
            <w:tcW w:w="0" w:type="auto"/>
            <w:vMerge w:val="restart"/>
            <w:tcBorders>
              <w:top w:val="nil"/>
              <w:left w:val="nil"/>
              <w:bottom w:val="single" w:color="000000" w:sz="6" w:space="0"/>
              <w:right w:val="single" w:color="auto" w:sz="6" w:space="0"/>
            </w:tcBorders>
            <w:shd w:val="clear" w:color="auto" w:fill="FFFFFF"/>
            <w:tcMar>
              <w:top w:w="0" w:type="dxa"/>
              <w:left w:w="105" w:type="dxa"/>
              <w:bottom w:w="0" w:type="dxa"/>
              <w:right w:w="105" w:type="dxa"/>
            </w:tcMar>
            <w:vAlign w:val="center"/>
          </w:tcPr>
          <w:p w14:paraId="7F7647DB">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台</w:t>
            </w:r>
          </w:p>
        </w:tc>
        <w:tc>
          <w:tcPr>
            <w:tcW w:w="0" w:type="auto"/>
            <w:vMerge w:val="restart"/>
            <w:tcBorders>
              <w:top w:val="nil"/>
              <w:left w:val="nil"/>
              <w:bottom w:val="single" w:color="000000" w:sz="6" w:space="0"/>
              <w:right w:val="single" w:color="auto" w:sz="6" w:space="0"/>
            </w:tcBorders>
            <w:shd w:val="clear" w:color="auto" w:fill="FFFFFF"/>
            <w:tcMar>
              <w:top w:w="0" w:type="dxa"/>
              <w:left w:w="105" w:type="dxa"/>
              <w:bottom w:w="0" w:type="dxa"/>
              <w:right w:w="105" w:type="dxa"/>
            </w:tcMar>
            <w:vAlign w:val="center"/>
          </w:tcPr>
          <w:p w14:paraId="2C939113">
            <w:pPr>
              <w:widowControl/>
              <w:jc w:val="left"/>
              <w:rPr>
                <w:rFonts w:ascii="宋体" w:hAnsi="宋体" w:eastAsia="宋体" w:cs="宋体"/>
                <w:kern w:val="0"/>
                <w:sz w:val="24"/>
                <w:szCs w:val="24"/>
              </w:rPr>
            </w:pPr>
          </w:p>
        </w:tc>
        <w:tc>
          <w:tcPr>
            <w:tcW w:w="0" w:type="auto"/>
            <w:vMerge w:val="restart"/>
            <w:tcBorders>
              <w:top w:val="nil"/>
              <w:left w:val="nil"/>
              <w:bottom w:val="single" w:color="000000" w:sz="6" w:space="0"/>
              <w:right w:val="single" w:color="auto" w:sz="6" w:space="0"/>
            </w:tcBorders>
            <w:shd w:val="clear" w:color="auto" w:fill="FFFFFF"/>
            <w:tcMar>
              <w:top w:w="0" w:type="dxa"/>
              <w:left w:w="105" w:type="dxa"/>
              <w:bottom w:w="0" w:type="dxa"/>
              <w:right w:w="105" w:type="dxa"/>
            </w:tcMar>
            <w:vAlign w:val="center"/>
          </w:tcPr>
          <w:p w14:paraId="1F43FC8C">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2</w:t>
            </w:r>
          </w:p>
        </w:tc>
        <w:tc>
          <w:tcPr>
            <w:tcW w:w="0" w:type="auto"/>
            <w:vMerge w:val="restart"/>
            <w:tcBorders>
              <w:top w:val="nil"/>
              <w:left w:val="nil"/>
              <w:bottom w:val="single" w:color="000000" w:sz="6" w:space="0"/>
              <w:right w:val="single" w:color="auto" w:sz="6" w:space="0"/>
            </w:tcBorders>
            <w:shd w:val="clear" w:color="auto" w:fill="FFFFFF"/>
            <w:tcMar>
              <w:top w:w="0" w:type="dxa"/>
              <w:left w:w="105" w:type="dxa"/>
              <w:bottom w:w="0" w:type="dxa"/>
              <w:right w:w="105" w:type="dxa"/>
            </w:tcMar>
            <w:vAlign w:val="center"/>
          </w:tcPr>
          <w:p w14:paraId="38735962">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2</w:t>
            </w:r>
          </w:p>
        </w:tc>
      </w:tr>
      <w:tr w14:paraId="11310C99">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930" w:hRule="atLeast"/>
        </w:trPr>
        <w:tc>
          <w:tcPr>
            <w:tcW w:w="0" w:type="auto"/>
            <w:vMerge w:val="continue"/>
            <w:tcBorders>
              <w:top w:val="nil"/>
              <w:left w:val="single" w:color="auto" w:sz="6" w:space="0"/>
              <w:bottom w:val="single" w:color="000000" w:sz="6" w:space="0"/>
              <w:right w:val="single" w:color="auto" w:sz="6" w:space="0"/>
            </w:tcBorders>
            <w:shd w:val="clear" w:color="auto" w:fill="auto"/>
            <w:vAlign w:val="center"/>
          </w:tcPr>
          <w:p w14:paraId="1E962007">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14:paraId="2951E2F3">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B3EFD69">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2、配置≥24*10GE光口，   ≥6*40GE光口，满配多模光模块。</w:t>
            </w:r>
          </w:p>
        </w:tc>
        <w:tc>
          <w:tcPr>
            <w:tcW w:w="0" w:type="auto"/>
            <w:vMerge w:val="continue"/>
            <w:tcBorders>
              <w:top w:val="nil"/>
              <w:left w:val="nil"/>
              <w:bottom w:val="single" w:color="000000" w:sz="6" w:space="0"/>
              <w:right w:val="single" w:color="auto" w:sz="6" w:space="0"/>
            </w:tcBorders>
            <w:shd w:val="clear" w:color="auto" w:fill="auto"/>
            <w:vAlign w:val="center"/>
          </w:tcPr>
          <w:p w14:paraId="50A22AA4">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14:paraId="4D943C5D">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14:paraId="6276CA39">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14:paraId="390B369B">
            <w:pPr>
              <w:widowControl/>
              <w:jc w:val="left"/>
              <w:rPr>
                <w:rFonts w:ascii="宋体" w:hAnsi="宋体" w:eastAsia="宋体" w:cs="宋体"/>
                <w:kern w:val="0"/>
                <w:sz w:val="24"/>
                <w:szCs w:val="24"/>
              </w:rPr>
            </w:pPr>
          </w:p>
        </w:tc>
      </w:tr>
      <w:tr w14:paraId="321154DF">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930" w:hRule="atLeast"/>
        </w:trPr>
        <w:tc>
          <w:tcPr>
            <w:tcW w:w="0" w:type="auto"/>
            <w:vMerge w:val="continue"/>
            <w:tcBorders>
              <w:top w:val="nil"/>
              <w:left w:val="single" w:color="auto" w:sz="6" w:space="0"/>
              <w:bottom w:val="single" w:color="000000" w:sz="6" w:space="0"/>
              <w:right w:val="single" w:color="auto" w:sz="6" w:space="0"/>
            </w:tcBorders>
            <w:shd w:val="clear" w:color="auto" w:fill="auto"/>
            <w:vAlign w:val="center"/>
          </w:tcPr>
          <w:p w14:paraId="4FFC2063">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14:paraId="13A1D571">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FAED192">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3、配置2个热拔插冗余交流电源，满配风扇模块。</w:t>
            </w:r>
          </w:p>
        </w:tc>
        <w:tc>
          <w:tcPr>
            <w:tcW w:w="0" w:type="auto"/>
            <w:vMerge w:val="continue"/>
            <w:tcBorders>
              <w:top w:val="nil"/>
              <w:left w:val="nil"/>
              <w:bottom w:val="single" w:color="000000" w:sz="6" w:space="0"/>
              <w:right w:val="single" w:color="auto" w:sz="6" w:space="0"/>
            </w:tcBorders>
            <w:shd w:val="clear" w:color="auto" w:fill="auto"/>
            <w:vAlign w:val="center"/>
          </w:tcPr>
          <w:p w14:paraId="5B2B38D1">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14:paraId="4B6D588B">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14:paraId="586BCE80">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14:paraId="3AADEEF5">
            <w:pPr>
              <w:widowControl/>
              <w:jc w:val="left"/>
              <w:rPr>
                <w:rFonts w:ascii="宋体" w:hAnsi="宋体" w:eastAsia="宋体" w:cs="宋体"/>
                <w:kern w:val="0"/>
                <w:sz w:val="24"/>
                <w:szCs w:val="24"/>
              </w:rPr>
            </w:pPr>
          </w:p>
        </w:tc>
      </w:tr>
      <w:tr w14:paraId="1AAA671D">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615" w:hRule="atLeast"/>
        </w:trPr>
        <w:tc>
          <w:tcPr>
            <w:tcW w:w="0" w:type="auto"/>
            <w:vMerge w:val="continue"/>
            <w:tcBorders>
              <w:top w:val="nil"/>
              <w:left w:val="single" w:color="auto" w:sz="6" w:space="0"/>
              <w:bottom w:val="single" w:color="000000" w:sz="6" w:space="0"/>
              <w:right w:val="single" w:color="auto" w:sz="6" w:space="0"/>
            </w:tcBorders>
            <w:shd w:val="clear" w:color="auto" w:fill="auto"/>
            <w:vAlign w:val="center"/>
          </w:tcPr>
          <w:p w14:paraId="04D513AF">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14:paraId="2CE17F45">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9157CB6">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4、支持多个物理端口的流量镜像到一个端口</w:t>
            </w:r>
          </w:p>
        </w:tc>
        <w:tc>
          <w:tcPr>
            <w:tcW w:w="0" w:type="auto"/>
            <w:vMerge w:val="continue"/>
            <w:tcBorders>
              <w:top w:val="nil"/>
              <w:left w:val="nil"/>
              <w:bottom w:val="single" w:color="000000" w:sz="6" w:space="0"/>
              <w:right w:val="single" w:color="auto" w:sz="6" w:space="0"/>
            </w:tcBorders>
            <w:shd w:val="clear" w:color="auto" w:fill="auto"/>
            <w:vAlign w:val="center"/>
          </w:tcPr>
          <w:p w14:paraId="7C3F8EF8">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14:paraId="19AF34E0">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14:paraId="6ED48D6A">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14:paraId="3EAC996E">
            <w:pPr>
              <w:widowControl/>
              <w:jc w:val="left"/>
              <w:rPr>
                <w:rFonts w:ascii="宋体" w:hAnsi="宋体" w:eastAsia="宋体" w:cs="宋体"/>
                <w:kern w:val="0"/>
                <w:sz w:val="24"/>
                <w:szCs w:val="24"/>
              </w:rPr>
            </w:pPr>
          </w:p>
        </w:tc>
      </w:tr>
      <w:tr w14:paraId="783D5B6E">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615" w:hRule="atLeast"/>
        </w:trPr>
        <w:tc>
          <w:tcPr>
            <w:tcW w:w="0" w:type="auto"/>
            <w:vMerge w:val="continue"/>
            <w:tcBorders>
              <w:top w:val="nil"/>
              <w:left w:val="single" w:color="auto" w:sz="6" w:space="0"/>
              <w:bottom w:val="single" w:color="000000" w:sz="6" w:space="0"/>
              <w:right w:val="single" w:color="auto" w:sz="6" w:space="0"/>
            </w:tcBorders>
            <w:shd w:val="clear" w:color="auto" w:fill="auto"/>
            <w:vAlign w:val="center"/>
          </w:tcPr>
          <w:p w14:paraId="557AEE4F">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14:paraId="57BB0ABB">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E20C319">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5、新增交换机需要与现有云平台SDN控制器无缝对接，能够接受云平台下发的网络配置进行自动业务开通。</w:t>
            </w:r>
          </w:p>
        </w:tc>
        <w:tc>
          <w:tcPr>
            <w:tcW w:w="0" w:type="auto"/>
            <w:vMerge w:val="continue"/>
            <w:tcBorders>
              <w:top w:val="nil"/>
              <w:left w:val="nil"/>
              <w:bottom w:val="single" w:color="000000" w:sz="6" w:space="0"/>
              <w:right w:val="single" w:color="auto" w:sz="6" w:space="0"/>
            </w:tcBorders>
            <w:shd w:val="clear" w:color="auto" w:fill="auto"/>
            <w:vAlign w:val="center"/>
          </w:tcPr>
          <w:p w14:paraId="020BBBFF">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14:paraId="142A8A92">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14:paraId="5BF520C8">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14:paraId="389A3DD9">
            <w:pPr>
              <w:widowControl/>
              <w:jc w:val="left"/>
              <w:rPr>
                <w:rFonts w:ascii="宋体" w:hAnsi="宋体" w:eastAsia="宋体" w:cs="宋体"/>
                <w:kern w:val="0"/>
                <w:sz w:val="24"/>
                <w:szCs w:val="24"/>
              </w:rPr>
            </w:pPr>
          </w:p>
        </w:tc>
      </w:tr>
    </w:tbl>
    <w:p w14:paraId="687E7614">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b/>
          <w:bCs/>
          <w:kern w:val="0"/>
          <w:sz w:val="24"/>
          <w:szCs w:val="24"/>
        </w:rPr>
        <w:t>性能提升要求</w:t>
      </w:r>
    </w:p>
    <w:p w14:paraId="4705A41A">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b/>
          <w:bCs/>
          <w:kern w:val="0"/>
          <w:sz w:val="24"/>
          <w:szCs w:val="24"/>
        </w:rPr>
        <w:t>1、服务器接入交换机性能提升要求：</w:t>
      </w:r>
    </w:p>
    <w:p w14:paraId="7AB82C33">
      <w:pPr>
        <w:widowControl/>
        <w:spacing w:after="150" w:line="300" w:lineRule="atLeast"/>
        <w:jc w:val="left"/>
        <w:rPr>
          <w:rFonts w:ascii="宋体" w:hAnsi="宋体" w:eastAsia="宋体" w:cs="宋体"/>
          <w:kern w:val="0"/>
          <w:sz w:val="24"/>
          <w:szCs w:val="24"/>
        </w:rPr>
      </w:pPr>
      <w:r>
        <w:rPr>
          <w:rFonts w:hint="eastAsia" w:ascii="宋体" w:hAnsi="宋体" w:eastAsia="宋体" w:cs="宋体"/>
          <w:kern w:val="0"/>
          <w:sz w:val="24"/>
          <w:szCs w:val="24"/>
        </w:rPr>
        <w:t>■1、为防止医保业务高并发时流量突发导致丢包，每台交换机配置设备缓存≥32M,整机最大ARP地址表≥270K，端口转发时延＜2微秒；（提供获得CMA或CNAS资质的检测机构出具的测试报告证明复印件，并加盖投标人公章）</w:t>
      </w:r>
    </w:p>
    <w:p w14:paraId="09B93C56">
      <w:pPr>
        <w:widowControl/>
        <w:spacing w:after="150" w:line="300" w:lineRule="atLeast"/>
        <w:jc w:val="left"/>
        <w:rPr>
          <w:rFonts w:ascii="宋体" w:hAnsi="宋体" w:eastAsia="宋体" w:cs="宋体"/>
          <w:kern w:val="0"/>
          <w:sz w:val="24"/>
          <w:szCs w:val="24"/>
        </w:rPr>
      </w:pPr>
      <w:r>
        <w:rPr>
          <w:rFonts w:hint="eastAsia" w:ascii="宋体" w:hAnsi="宋体" w:eastAsia="宋体" w:cs="宋体"/>
          <w:kern w:val="0"/>
          <w:sz w:val="24"/>
          <w:szCs w:val="24"/>
        </w:rPr>
        <w:t>■2、支持将N台（N≥20）物理设备虚拟化为一台逻辑设备，虚拟组内可以实现一致的转发表项，统一的管理，跨物理设备的链路聚合;支持Segment Routing;（提供获得CMA或CNAS资质的检测机构出具的测试报告证明复印件，并加盖投标人公章）</w:t>
      </w:r>
    </w:p>
    <w:p w14:paraId="7A61E743">
      <w:pPr>
        <w:widowControl/>
        <w:spacing w:after="150" w:line="300" w:lineRule="atLeast"/>
        <w:jc w:val="left"/>
        <w:rPr>
          <w:rFonts w:ascii="宋体" w:hAnsi="宋体" w:eastAsia="宋体" w:cs="宋体"/>
          <w:kern w:val="0"/>
          <w:sz w:val="24"/>
          <w:szCs w:val="24"/>
        </w:rPr>
      </w:pPr>
      <w:r>
        <w:rPr>
          <w:rFonts w:hint="eastAsia" w:ascii="宋体" w:hAnsi="宋体" w:eastAsia="宋体" w:cs="宋体"/>
          <w:kern w:val="0"/>
          <w:sz w:val="24"/>
          <w:szCs w:val="24"/>
        </w:rPr>
        <w:t>■3、支持≥5个热拔插冗余风扇模块，且支持Mini USB Console 接口；(提供官网公开链接及截图证明，并加盖投标人公章)</w:t>
      </w:r>
    </w:p>
    <w:p w14:paraId="1F4FA199">
      <w:pPr>
        <w:widowControl/>
        <w:spacing w:after="150" w:line="300" w:lineRule="atLeast"/>
        <w:jc w:val="left"/>
        <w:rPr>
          <w:rFonts w:ascii="宋体" w:hAnsi="宋体" w:eastAsia="宋体" w:cs="宋体"/>
          <w:kern w:val="0"/>
          <w:sz w:val="24"/>
          <w:szCs w:val="24"/>
        </w:rPr>
      </w:pPr>
      <w:r>
        <w:rPr>
          <w:rFonts w:hint="eastAsia" w:ascii="宋体" w:hAnsi="宋体" w:eastAsia="宋体" w:cs="宋体"/>
          <w:kern w:val="0"/>
          <w:sz w:val="24"/>
          <w:szCs w:val="24"/>
        </w:rPr>
        <w:t>■4、支持MPLS特性、支持MCE(VRF)、支持MPLS VPN、支持VPLS、支持MPLS TE等功能；（提供获得CMA或CNAS资质的检测机构出具的测试报告证明复印件，并加盖投标人公章）</w:t>
      </w:r>
    </w:p>
    <w:p w14:paraId="44653DA4">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b/>
          <w:bCs/>
          <w:kern w:val="0"/>
          <w:sz w:val="24"/>
          <w:szCs w:val="24"/>
        </w:rPr>
        <w:t>2、带外管理交换机性能提升要求：</w:t>
      </w:r>
    </w:p>
    <w:p w14:paraId="422008F8">
      <w:pPr>
        <w:widowControl/>
        <w:spacing w:after="150" w:line="300" w:lineRule="atLeast"/>
        <w:jc w:val="left"/>
        <w:rPr>
          <w:rFonts w:ascii="宋体" w:hAnsi="宋体" w:eastAsia="宋体" w:cs="宋体"/>
          <w:kern w:val="0"/>
          <w:sz w:val="24"/>
          <w:szCs w:val="24"/>
        </w:rPr>
      </w:pPr>
      <w:r>
        <w:rPr>
          <w:rFonts w:hint="eastAsia" w:ascii="宋体" w:hAnsi="宋体" w:eastAsia="宋体" w:cs="宋体"/>
          <w:kern w:val="0"/>
          <w:sz w:val="24"/>
          <w:szCs w:val="24"/>
        </w:rPr>
        <w:t>▲1、设备内置智能管理中心，可作为智能管理中心的管理设备，通过所投设备登录到智能管理中心网络即可对整网进行统一管理；支持10KV业务端口防雷能力。(提供官网公开链接及截图证明，并加盖投标人公章）</w:t>
      </w:r>
    </w:p>
    <w:p w14:paraId="560BA36D">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b/>
          <w:bCs/>
          <w:kern w:val="0"/>
          <w:sz w:val="24"/>
          <w:szCs w:val="24"/>
        </w:rPr>
        <w:t>3、内外网数据交换区交换机性能提升要求：</w:t>
      </w:r>
    </w:p>
    <w:p w14:paraId="7824529E">
      <w:pPr>
        <w:widowControl/>
        <w:spacing w:after="150" w:line="300" w:lineRule="atLeast"/>
        <w:jc w:val="left"/>
        <w:rPr>
          <w:rFonts w:ascii="宋体" w:hAnsi="宋体" w:eastAsia="宋体" w:cs="宋体"/>
          <w:kern w:val="0"/>
          <w:sz w:val="24"/>
          <w:szCs w:val="24"/>
        </w:rPr>
      </w:pPr>
      <w:r>
        <w:rPr>
          <w:rFonts w:hint="eastAsia" w:ascii="宋体" w:hAnsi="宋体" w:eastAsia="宋体" w:cs="宋体"/>
          <w:kern w:val="0"/>
          <w:sz w:val="24"/>
          <w:szCs w:val="24"/>
        </w:rPr>
        <w:t>■1、支持≥2个扩展插槽，可扩展支持万兆光口、25G光口、万兆多速率电口、等端口扩展板卡；(提供官网公开链接及截图证明，并加盖投标人公章)</w:t>
      </w:r>
    </w:p>
    <w:p w14:paraId="51E89C4E">
      <w:pPr>
        <w:widowControl/>
        <w:spacing w:after="150" w:line="300" w:lineRule="atLeast"/>
        <w:jc w:val="left"/>
        <w:rPr>
          <w:rFonts w:ascii="宋体" w:hAnsi="宋体" w:eastAsia="宋体" w:cs="宋体"/>
          <w:kern w:val="0"/>
          <w:sz w:val="24"/>
          <w:szCs w:val="24"/>
        </w:rPr>
      </w:pPr>
      <w:r>
        <w:rPr>
          <w:rFonts w:hint="eastAsia" w:ascii="宋体" w:hAnsi="宋体" w:eastAsia="宋体" w:cs="宋体"/>
          <w:kern w:val="0"/>
          <w:sz w:val="24"/>
          <w:szCs w:val="24"/>
        </w:rPr>
        <w:t>■2、支持扩展防火墙插卡模块，且可通过添加license或添加硬件模块等方式实现入侵防御（IPS），防病毒，负载均衡（LB），应用识别，SSL VPN等功能；(提供官网公开链接及截图证明，并加盖投标人公章)</w:t>
      </w:r>
    </w:p>
    <w:p w14:paraId="2BC8B3FC">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▲3、设备内置智能管理中心，可作为智能管理中心的管理设备，通过所投设备登录到智能管理中心网络即可对整网进行统一管理；支持10KV业务端口防雷能力。(提供官网公开链接及截图证明，并加盖投标人公章)</w:t>
      </w:r>
    </w:p>
    <w:p w14:paraId="27E5015F">
      <w:pPr>
        <w:widowControl/>
        <w:spacing w:after="150"/>
        <w:jc w:val="left"/>
        <w:rPr>
          <w:rFonts w:ascii="宋体" w:hAnsi="宋体" w:eastAsia="宋体" w:cs="宋体"/>
          <w:kern w:val="0"/>
          <w:sz w:val="24"/>
          <w:szCs w:val="24"/>
        </w:rPr>
      </w:pPr>
    </w:p>
    <w:p w14:paraId="10155043">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三、商务条件</w:t>
      </w:r>
      <w:r>
        <w:rPr>
          <w:rFonts w:hint="eastAsia" w:ascii="宋体" w:hAnsi="宋体" w:eastAsia="宋体" w:cs="宋体"/>
          <w:b/>
          <w:bCs/>
          <w:kern w:val="0"/>
          <w:sz w:val="24"/>
          <w:szCs w:val="24"/>
        </w:rPr>
        <w:t>（以“★”标示的内容为不允许负偏离的实质性要求）</w:t>
      </w:r>
    </w:p>
    <w:p w14:paraId="3204D559">
      <w:pPr>
        <w:widowControl/>
        <w:spacing w:before="75" w:after="75"/>
        <w:jc w:val="left"/>
        <w:rPr>
          <w:rFonts w:ascii="宋体" w:hAnsi="宋体" w:eastAsia="宋体" w:cs="宋体"/>
          <w:kern w:val="0"/>
          <w:sz w:val="24"/>
          <w:szCs w:val="24"/>
        </w:rPr>
      </w:pPr>
      <w:r>
        <w:rPr>
          <w:rFonts w:hint="eastAsia" w:ascii="宋体" w:hAnsi="宋体" w:eastAsia="宋体" w:cs="宋体"/>
          <w:b/>
          <w:bCs/>
          <w:kern w:val="0"/>
          <w:sz w:val="24"/>
          <w:szCs w:val="24"/>
        </w:rPr>
        <w:t>包：1</w:t>
      </w:r>
      <w:r>
        <w:rPr>
          <w:rFonts w:hint="eastAsia" w:ascii="宋体" w:hAnsi="宋体" w:eastAsia="宋体" w:cs="宋体"/>
          <w:b/>
          <w:bCs/>
          <w:kern w:val="0"/>
          <w:sz w:val="24"/>
          <w:szCs w:val="24"/>
        </w:rPr>
        <w:br w:type="textWrapping"/>
      </w:r>
      <w:r>
        <w:rPr>
          <w:rFonts w:hint="eastAsia" w:ascii="宋体" w:hAnsi="宋体" w:eastAsia="宋体" w:cs="宋体"/>
          <w:b/>
          <w:bCs/>
          <w:kern w:val="0"/>
          <w:sz w:val="24"/>
          <w:szCs w:val="24"/>
        </w:rPr>
        <w:t>1、交付地点：福建省福州市鼓楼区北大路133号物价大厦11楼</w:t>
      </w:r>
      <w:r>
        <w:rPr>
          <w:rFonts w:hint="eastAsia" w:ascii="宋体" w:hAnsi="宋体" w:eastAsia="宋体" w:cs="宋体"/>
          <w:b/>
          <w:bCs/>
          <w:kern w:val="0"/>
          <w:sz w:val="24"/>
          <w:szCs w:val="24"/>
        </w:rPr>
        <w:br w:type="textWrapping"/>
      </w:r>
      <w:r>
        <w:rPr>
          <w:rFonts w:hint="eastAsia" w:ascii="宋体" w:hAnsi="宋体" w:eastAsia="宋体" w:cs="宋体"/>
          <w:b/>
          <w:bCs/>
          <w:kern w:val="0"/>
          <w:sz w:val="24"/>
          <w:szCs w:val="24"/>
        </w:rPr>
        <w:t>2、交付时间：合同签订后30天内</w:t>
      </w:r>
      <w:r>
        <w:rPr>
          <w:rFonts w:hint="eastAsia" w:ascii="宋体" w:hAnsi="宋体" w:eastAsia="宋体" w:cs="宋体"/>
          <w:b/>
          <w:bCs/>
          <w:kern w:val="0"/>
          <w:sz w:val="24"/>
          <w:szCs w:val="24"/>
        </w:rPr>
        <w:br w:type="textWrapping"/>
      </w:r>
      <w:r>
        <w:rPr>
          <w:rFonts w:hint="eastAsia" w:ascii="宋体" w:hAnsi="宋体" w:eastAsia="宋体" w:cs="宋体"/>
          <w:b/>
          <w:bCs/>
          <w:kern w:val="0"/>
          <w:sz w:val="24"/>
          <w:szCs w:val="24"/>
        </w:rPr>
        <w:t>3、交付条件：货到验收合格交付使用</w:t>
      </w:r>
      <w:r>
        <w:rPr>
          <w:rFonts w:hint="eastAsia" w:ascii="宋体" w:hAnsi="宋体" w:eastAsia="宋体" w:cs="宋体"/>
          <w:b/>
          <w:bCs/>
          <w:kern w:val="0"/>
          <w:sz w:val="24"/>
          <w:szCs w:val="24"/>
        </w:rPr>
        <w:br w:type="textWrapping"/>
      </w:r>
      <w:r>
        <w:rPr>
          <w:rFonts w:hint="eastAsia" w:ascii="宋体" w:hAnsi="宋体" w:eastAsia="宋体" w:cs="宋体"/>
          <w:b/>
          <w:bCs/>
          <w:kern w:val="0"/>
          <w:sz w:val="24"/>
          <w:szCs w:val="24"/>
        </w:rPr>
        <w:t>4、是否收取履约保证金： 是。履约保证金百分比：5%。说明：中标人在签订政府采购合同前三日内应向采购人缴纳合同总金额5%的履约保证金，该履约保证金将在合同质保期结束后且中标人无违约的前提下无息退还。如果是以保函形式缴纳履约保证金的，中标人必须开具见索即付(无条件支付)银行保函，且保函有效期(即到期时间)必须为合同质保期结束后再延长6个月。</w:t>
      </w:r>
      <w:r>
        <w:rPr>
          <w:rFonts w:hint="eastAsia" w:ascii="宋体" w:hAnsi="宋体" w:eastAsia="宋体" w:cs="宋体"/>
          <w:b/>
          <w:bCs/>
          <w:kern w:val="0"/>
          <w:sz w:val="24"/>
          <w:szCs w:val="24"/>
        </w:rPr>
        <w:br w:type="textWrapping"/>
      </w:r>
      <w:r>
        <w:rPr>
          <w:rFonts w:hint="eastAsia" w:ascii="宋体" w:hAnsi="宋体" w:eastAsia="宋体" w:cs="宋体"/>
          <w:b/>
          <w:bCs/>
          <w:kern w:val="0"/>
          <w:sz w:val="24"/>
          <w:szCs w:val="24"/>
        </w:rPr>
        <w:t>5、是否邀请投标人参与验收：否</w:t>
      </w:r>
      <w:r>
        <w:rPr>
          <w:rFonts w:hint="eastAsia" w:ascii="宋体" w:hAnsi="宋体" w:eastAsia="宋体" w:cs="宋体"/>
          <w:b/>
          <w:bCs/>
          <w:kern w:val="0"/>
          <w:sz w:val="24"/>
          <w:szCs w:val="24"/>
        </w:rPr>
        <w:br w:type="textWrapping"/>
      </w:r>
      <w:r>
        <w:rPr>
          <w:rFonts w:hint="eastAsia" w:ascii="宋体" w:hAnsi="宋体" w:eastAsia="宋体" w:cs="宋体"/>
          <w:b/>
          <w:bCs/>
          <w:kern w:val="0"/>
          <w:sz w:val="24"/>
          <w:szCs w:val="24"/>
        </w:rPr>
        <w:t>6、验收方式数据表格</w:t>
      </w:r>
    </w:p>
    <w:tbl>
      <w:tblPr>
        <w:tblStyle w:val="9"/>
        <w:tblW w:w="5000" w:type="pct"/>
        <w:tblInd w:w="0" w:type="dxa"/>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autofit"/>
        <w:tblCellMar>
          <w:top w:w="0" w:type="dxa"/>
          <w:left w:w="0" w:type="dxa"/>
          <w:bottom w:w="0" w:type="dxa"/>
          <w:right w:w="0" w:type="dxa"/>
        </w:tblCellMar>
      </w:tblPr>
      <w:tblGrid>
        <w:gridCol w:w="1664"/>
        <w:gridCol w:w="6658"/>
      </w:tblGrid>
      <w:tr w14:paraId="1A59641F">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PrEx>
        <w:trPr>
          <w:tblHeader/>
        </w:trPr>
        <w:tc>
          <w:tcPr>
            <w:tcW w:w="100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0CA65926">
            <w:pPr>
              <w:widowControl/>
              <w:jc w:val="left"/>
              <w:rPr>
                <w:rFonts w:ascii="宋体" w:hAnsi="宋体" w:eastAsia="宋体" w:cs="宋体"/>
                <w:kern w:val="0"/>
                <w:sz w:val="24"/>
                <w:szCs w:val="24"/>
              </w:rPr>
            </w:pPr>
            <w:r>
              <w:rPr>
                <w:rFonts w:ascii="宋体" w:hAnsi="宋体" w:eastAsia="宋体" w:cs="宋体"/>
                <w:kern w:val="0"/>
                <w:sz w:val="24"/>
                <w:szCs w:val="24"/>
              </w:rPr>
              <w:t>验收期次</w:t>
            </w:r>
          </w:p>
        </w:tc>
        <w:tc>
          <w:tcPr>
            <w:tcW w:w="400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426B821E">
            <w:pPr>
              <w:widowControl/>
              <w:jc w:val="left"/>
              <w:rPr>
                <w:rFonts w:ascii="宋体" w:hAnsi="宋体" w:eastAsia="宋体" w:cs="宋体"/>
                <w:kern w:val="0"/>
                <w:sz w:val="24"/>
                <w:szCs w:val="24"/>
              </w:rPr>
            </w:pPr>
            <w:r>
              <w:rPr>
                <w:rFonts w:ascii="宋体" w:hAnsi="宋体" w:eastAsia="宋体" w:cs="宋体"/>
                <w:kern w:val="0"/>
                <w:sz w:val="24"/>
                <w:szCs w:val="24"/>
              </w:rPr>
              <w:t>验收期次说明</w:t>
            </w:r>
          </w:p>
        </w:tc>
      </w:tr>
      <w:tr w14:paraId="18571C68">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1DAAA753">
            <w:pPr>
              <w:widowControl/>
              <w:jc w:val="left"/>
              <w:rPr>
                <w:rFonts w:ascii="宋体" w:hAnsi="宋体" w:eastAsia="宋体" w:cs="宋体"/>
                <w:kern w:val="0"/>
                <w:sz w:val="24"/>
                <w:szCs w:val="24"/>
              </w:rPr>
            </w:pPr>
            <w:r>
              <w:rPr>
                <w:rFonts w:ascii="宋体" w:hAnsi="宋体" w:eastAsia="宋体" w:cs="宋体"/>
                <w:kern w:val="0"/>
                <w:sz w:val="24"/>
                <w:szCs w:val="24"/>
              </w:rPr>
              <w:t>1</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4B1C9FCA">
            <w:pPr>
              <w:widowControl/>
              <w:jc w:val="left"/>
              <w:rPr>
                <w:rFonts w:ascii="宋体" w:hAnsi="宋体" w:eastAsia="宋体" w:cs="宋体"/>
                <w:kern w:val="0"/>
                <w:sz w:val="24"/>
                <w:szCs w:val="24"/>
              </w:rPr>
            </w:pPr>
            <w:r>
              <w:rPr>
                <w:rFonts w:ascii="宋体" w:hAnsi="宋体" w:eastAsia="宋体" w:cs="宋体"/>
                <w:kern w:val="0"/>
                <w:sz w:val="24"/>
                <w:szCs w:val="24"/>
              </w:rPr>
              <w:t>符合招标文件以及合同要求</w:t>
            </w:r>
          </w:p>
        </w:tc>
      </w:tr>
    </w:tbl>
    <w:p w14:paraId="67E1B1B2">
      <w:pPr>
        <w:widowControl/>
        <w:jc w:val="left"/>
        <w:rPr>
          <w:rFonts w:ascii="宋体" w:hAnsi="宋体" w:eastAsia="宋体" w:cs="宋体"/>
          <w:b/>
          <w:bCs/>
          <w:kern w:val="0"/>
          <w:sz w:val="24"/>
          <w:szCs w:val="24"/>
        </w:rPr>
      </w:pPr>
      <w:r>
        <w:rPr>
          <w:rFonts w:ascii="宋体" w:hAnsi="宋体" w:eastAsia="宋体" w:cs="宋体"/>
          <w:b/>
          <w:bCs/>
          <w:kern w:val="0"/>
          <w:sz w:val="24"/>
          <w:szCs w:val="24"/>
        </w:rPr>
        <w:t>7、支付方式数据表格</w:t>
      </w:r>
    </w:p>
    <w:tbl>
      <w:tblPr>
        <w:tblStyle w:val="9"/>
        <w:tblW w:w="5000" w:type="pct"/>
        <w:tblInd w:w="0" w:type="dxa"/>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autofit"/>
        <w:tblCellMar>
          <w:top w:w="0" w:type="dxa"/>
          <w:left w:w="0" w:type="dxa"/>
          <w:bottom w:w="0" w:type="dxa"/>
          <w:right w:w="0" w:type="dxa"/>
        </w:tblCellMar>
      </w:tblPr>
      <w:tblGrid>
        <w:gridCol w:w="1664"/>
        <w:gridCol w:w="1664"/>
        <w:gridCol w:w="4994"/>
      </w:tblGrid>
      <w:tr w14:paraId="55B4A7B4">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rPr>
          <w:tblHeader/>
        </w:trPr>
        <w:tc>
          <w:tcPr>
            <w:tcW w:w="100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0E1BD87F">
            <w:pPr>
              <w:widowControl/>
              <w:jc w:val="left"/>
              <w:rPr>
                <w:rFonts w:ascii="宋体" w:hAnsi="宋体" w:eastAsia="宋体" w:cs="宋体"/>
                <w:kern w:val="0"/>
                <w:sz w:val="24"/>
                <w:szCs w:val="24"/>
              </w:rPr>
            </w:pPr>
            <w:r>
              <w:rPr>
                <w:rFonts w:ascii="宋体" w:hAnsi="宋体" w:eastAsia="宋体" w:cs="宋体"/>
                <w:kern w:val="0"/>
                <w:sz w:val="24"/>
                <w:szCs w:val="24"/>
              </w:rPr>
              <w:t>支付期次</w:t>
            </w:r>
          </w:p>
        </w:tc>
        <w:tc>
          <w:tcPr>
            <w:tcW w:w="100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504770C8">
            <w:pPr>
              <w:widowControl/>
              <w:jc w:val="left"/>
              <w:rPr>
                <w:rFonts w:ascii="宋体" w:hAnsi="宋体" w:eastAsia="宋体" w:cs="宋体"/>
                <w:kern w:val="0"/>
                <w:sz w:val="24"/>
                <w:szCs w:val="24"/>
              </w:rPr>
            </w:pPr>
            <w:r>
              <w:rPr>
                <w:rFonts w:ascii="宋体" w:hAnsi="宋体" w:eastAsia="宋体" w:cs="宋体"/>
                <w:kern w:val="0"/>
                <w:sz w:val="24"/>
                <w:szCs w:val="24"/>
              </w:rPr>
              <w:t>支付比例(%)</w:t>
            </w:r>
          </w:p>
        </w:tc>
        <w:tc>
          <w:tcPr>
            <w:tcW w:w="300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33D36689">
            <w:pPr>
              <w:widowControl/>
              <w:jc w:val="left"/>
              <w:rPr>
                <w:rFonts w:ascii="宋体" w:hAnsi="宋体" w:eastAsia="宋体" w:cs="宋体"/>
                <w:kern w:val="0"/>
                <w:sz w:val="24"/>
                <w:szCs w:val="24"/>
              </w:rPr>
            </w:pPr>
            <w:r>
              <w:rPr>
                <w:rFonts w:ascii="宋体" w:hAnsi="宋体" w:eastAsia="宋体" w:cs="宋体"/>
                <w:kern w:val="0"/>
                <w:sz w:val="24"/>
                <w:szCs w:val="24"/>
              </w:rPr>
              <w:t>支付期次说明</w:t>
            </w:r>
          </w:p>
        </w:tc>
      </w:tr>
      <w:tr w14:paraId="2C66C8F1">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29B762F9">
            <w:pPr>
              <w:widowControl/>
              <w:jc w:val="left"/>
              <w:rPr>
                <w:rFonts w:ascii="宋体" w:hAnsi="宋体" w:eastAsia="宋体" w:cs="宋体"/>
                <w:kern w:val="0"/>
                <w:sz w:val="24"/>
                <w:szCs w:val="24"/>
              </w:rPr>
            </w:pPr>
            <w:r>
              <w:rPr>
                <w:rFonts w:ascii="宋体" w:hAnsi="宋体" w:eastAsia="宋体" w:cs="宋体"/>
                <w:kern w:val="0"/>
                <w:sz w:val="24"/>
                <w:szCs w:val="24"/>
              </w:rPr>
              <w:t>1</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199C647E">
            <w:pPr>
              <w:widowControl/>
              <w:jc w:val="left"/>
              <w:rPr>
                <w:rFonts w:ascii="宋体" w:hAnsi="宋体" w:eastAsia="宋体" w:cs="宋体"/>
                <w:kern w:val="0"/>
                <w:sz w:val="24"/>
                <w:szCs w:val="24"/>
              </w:rPr>
            </w:pPr>
            <w:r>
              <w:rPr>
                <w:rFonts w:ascii="宋体" w:hAnsi="宋体" w:eastAsia="宋体" w:cs="宋体"/>
                <w:kern w:val="0"/>
                <w:sz w:val="24"/>
                <w:szCs w:val="24"/>
              </w:rPr>
              <w:t>40</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2514F6CA">
            <w:pPr>
              <w:widowControl/>
              <w:jc w:val="left"/>
              <w:rPr>
                <w:rFonts w:ascii="宋体" w:hAnsi="宋体" w:eastAsia="宋体" w:cs="宋体"/>
                <w:kern w:val="0"/>
                <w:sz w:val="24"/>
                <w:szCs w:val="24"/>
              </w:rPr>
            </w:pPr>
            <w:r>
              <w:rPr>
                <w:rFonts w:ascii="宋体" w:hAnsi="宋体" w:eastAsia="宋体" w:cs="宋体"/>
                <w:kern w:val="0"/>
                <w:sz w:val="24"/>
                <w:szCs w:val="24"/>
              </w:rPr>
              <w:t>按招标文件以及合同执行，设备到货签收后，中标人提供正规税务发票（增值税普通发票）支付40%的合同款。</w:t>
            </w:r>
          </w:p>
        </w:tc>
      </w:tr>
      <w:tr w14:paraId="3A9F2E10">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349A4CB8">
            <w:pPr>
              <w:widowControl/>
              <w:jc w:val="left"/>
              <w:rPr>
                <w:rFonts w:ascii="宋体" w:hAnsi="宋体" w:eastAsia="宋体" w:cs="宋体"/>
                <w:kern w:val="0"/>
                <w:sz w:val="24"/>
                <w:szCs w:val="24"/>
              </w:rPr>
            </w:pPr>
            <w:r>
              <w:rPr>
                <w:rFonts w:ascii="宋体" w:hAnsi="宋体" w:eastAsia="宋体" w:cs="宋体"/>
                <w:kern w:val="0"/>
                <w:sz w:val="24"/>
                <w:szCs w:val="24"/>
              </w:rPr>
              <w:t>2</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73A49A09">
            <w:pPr>
              <w:widowControl/>
              <w:jc w:val="left"/>
              <w:rPr>
                <w:rFonts w:ascii="宋体" w:hAnsi="宋体" w:eastAsia="宋体" w:cs="宋体"/>
                <w:kern w:val="0"/>
                <w:sz w:val="24"/>
                <w:szCs w:val="24"/>
              </w:rPr>
            </w:pPr>
            <w:r>
              <w:rPr>
                <w:rFonts w:ascii="宋体" w:hAnsi="宋体" w:eastAsia="宋体" w:cs="宋体"/>
                <w:kern w:val="0"/>
                <w:sz w:val="24"/>
                <w:szCs w:val="24"/>
              </w:rPr>
              <w:t>30</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5ED19128">
            <w:pPr>
              <w:widowControl/>
              <w:jc w:val="left"/>
              <w:rPr>
                <w:rFonts w:ascii="宋体" w:hAnsi="宋体" w:eastAsia="宋体" w:cs="宋体"/>
                <w:kern w:val="0"/>
                <w:sz w:val="24"/>
                <w:szCs w:val="24"/>
              </w:rPr>
            </w:pPr>
            <w:r>
              <w:rPr>
                <w:rFonts w:ascii="宋体" w:hAnsi="宋体" w:eastAsia="宋体" w:cs="宋体"/>
                <w:kern w:val="0"/>
                <w:sz w:val="24"/>
                <w:szCs w:val="24"/>
              </w:rPr>
              <w:t>按招标文件以及合同执行，完成国家医保局验收后，中标人提供正规税务发票（增值税普通发票）支付30%的合同款。</w:t>
            </w:r>
          </w:p>
        </w:tc>
      </w:tr>
      <w:tr w14:paraId="44E25128">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41882620">
            <w:pPr>
              <w:widowControl/>
              <w:jc w:val="left"/>
              <w:rPr>
                <w:rFonts w:ascii="宋体" w:hAnsi="宋体" w:eastAsia="宋体" w:cs="宋体"/>
                <w:kern w:val="0"/>
                <w:sz w:val="24"/>
                <w:szCs w:val="24"/>
              </w:rPr>
            </w:pPr>
            <w:r>
              <w:rPr>
                <w:rFonts w:ascii="宋体" w:hAnsi="宋体" w:eastAsia="宋体" w:cs="宋体"/>
                <w:kern w:val="0"/>
                <w:sz w:val="24"/>
                <w:szCs w:val="24"/>
              </w:rPr>
              <w:t>3</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0BAC50B0">
            <w:pPr>
              <w:widowControl/>
              <w:jc w:val="left"/>
              <w:rPr>
                <w:rFonts w:ascii="宋体" w:hAnsi="宋体" w:eastAsia="宋体" w:cs="宋体"/>
                <w:kern w:val="0"/>
                <w:sz w:val="24"/>
                <w:szCs w:val="24"/>
              </w:rPr>
            </w:pPr>
            <w:r>
              <w:rPr>
                <w:rFonts w:ascii="宋体" w:hAnsi="宋体" w:eastAsia="宋体" w:cs="宋体"/>
                <w:kern w:val="0"/>
                <w:sz w:val="24"/>
                <w:szCs w:val="24"/>
              </w:rPr>
              <w:t>30</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191D965A">
            <w:pPr>
              <w:widowControl/>
              <w:jc w:val="left"/>
              <w:rPr>
                <w:rFonts w:ascii="宋体" w:hAnsi="宋体" w:eastAsia="宋体" w:cs="宋体"/>
                <w:kern w:val="0"/>
                <w:sz w:val="24"/>
                <w:szCs w:val="24"/>
              </w:rPr>
            </w:pPr>
            <w:r>
              <w:rPr>
                <w:rFonts w:ascii="宋体" w:hAnsi="宋体" w:eastAsia="宋体" w:cs="宋体"/>
                <w:kern w:val="0"/>
                <w:sz w:val="24"/>
                <w:szCs w:val="24"/>
              </w:rPr>
              <w:t>按招标文件以及合同执行，完成省数办验收后（终验），中标人提供正规税务发票（增值税普通发票）支付30%的合同款。</w:t>
            </w:r>
          </w:p>
        </w:tc>
      </w:tr>
    </w:tbl>
    <w:p w14:paraId="175D59E5">
      <w:pPr>
        <w:widowControl/>
        <w:spacing w:before="300" w:after="150"/>
        <w:jc w:val="left"/>
        <w:rPr>
          <w:rFonts w:ascii="宋体" w:hAnsi="宋体" w:eastAsia="宋体" w:cs="宋体"/>
          <w:kern w:val="0"/>
          <w:sz w:val="24"/>
          <w:szCs w:val="24"/>
        </w:rPr>
      </w:pPr>
      <w:r>
        <w:rPr>
          <w:rFonts w:hint="eastAsia" w:ascii="宋体" w:hAnsi="宋体" w:eastAsia="宋体" w:cs="宋体"/>
          <w:kern w:val="0"/>
          <w:sz w:val="24"/>
          <w:szCs w:val="24"/>
        </w:rPr>
        <w:t>8.服务要求及承诺</w:t>
      </w:r>
    </w:p>
    <w:p w14:paraId="453335A0">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1)</w:t>
      </w:r>
      <w:r>
        <w:rPr>
          <w:rFonts w:ascii="Times New Roman" w:hAnsi="Times New Roman" w:eastAsia="宋体" w:cs="Times New Roman"/>
          <w:kern w:val="0"/>
          <w:sz w:val="14"/>
          <w:szCs w:val="14"/>
        </w:rPr>
        <w:t>  </w:t>
      </w:r>
      <w:r>
        <w:rPr>
          <w:rFonts w:hint="eastAsia" w:ascii="宋体" w:hAnsi="宋体" w:eastAsia="宋体" w:cs="宋体"/>
          <w:kern w:val="0"/>
          <w:sz w:val="24"/>
          <w:szCs w:val="24"/>
        </w:rPr>
        <w:t>投标人须承诺按照云平台适配指南的要求做好准备(包括但不限于IAAS、PAAS、云管平台、数据库、数据同步等，并完成HSAF适配层开发)，提供的第三方云平台须符合《医疗保障信息平台云计算平台规范》，并在国家智慧医保实验室对适配情况进行验证。投标人所投云平台涉及分布式数据库产品必须通过“国家智慧医保实验室”适配并提供适配报告，未提供或提供不符视为没有实质性响应招标文件。</w:t>
      </w:r>
    </w:p>
    <w:p w14:paraId="31CA792F">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2)</w:t>
      </w:r>
      <w:r>
        <w:rPr>
          <w:rFonts w:ascii="Times New Roman" w:hAnsi="Times New Roman" w:eastAsia="宋体" w:cs="Times New Roman"/>
          <w:kern w:val="0"/>
          <w:sz w:val="14"/>
          <w:szCs w:val="14"/>
        </w:rPr>
        <w:t>  </w:t>
      </w:r>
      <w:r>
        <w:rPr>
          <w:rFonts w:hint="eastAsia" w:ascii="宋体" w:hAnsi="宋体" w:eastAsia="宋体" w:cs="宋体"/>
          <w:kern w:val="0"/>
          <w:sz w:val="24"/>
          <w:szCs w:val="24"/>
        </w:rPr>
        <w:t>为保证业务快速上线、稳定运行，投标人须承诺核心区生产系统使用的分布式数据库不得存在对接与适配性上问题。新增的数据库节点须在原有数据库集群的基础上进行平滑扩展，并将原有集群的业务数据在短时间内平滑均衡至新建的数据库集群之上。整合优化后的数据库集群须与现有的核心区云平台无缝对接，能够并入云平台进行统一纳管及接受下发配置，以便于进行业务的自动开通；整合优化后的数据库集群须与现有的容灾管理平台无缝对接，能够接受容灾管理平台的统一调度，以便于进行A/B中心的容灾切换。同时，新增的数据库服务器所配的CPU、硬盘、RAID卡、网卡等部件均需兼容现有的分布式数据库软件，并保证业务系统正常运行。</w:t>
      </w:r>
      <w:r>
        <w:rPr>
          <w:rFonts w:hint="eastAsia" w:ascii="宋体" w:hAnsi="宋体" w:eastAsia="宋体" w:cs="宋体"/>
          <w:kern w:val="0"/>
          <w:sz w:val="23"/>
          <w:szCs w:val="23"/>
        </w:rPr>
        <w:t>投标人需承诺所投</w:t>
      </w:r>
      <w:r>
        <w:rPr>
          <w:rFonts w:hint="eastAsia" w:ascii="宋体" w:hAnsi="宋体" w:eastAsia="宋体" w:cs="宋体"/>
          <w:kern w:val="0"/>
          <w:sz w:val="24"/>
          <w:szCs w:val="24"/>
        </w:rPr>
        <w:t>分布式数据库与现有</w:t>
      </w:r>
      <w:r>
        <w:rPr>
          <w:rFonts w:hint="eastAsia" w:ascii="宋体" w:hAnsi="宋体" w:eastAsia="宋体" w:cs="宋体"/>
          <w:kern w:val="0"/>
          <w:sz w:val="23"/>
          <w:szCs w:val="23"/>
        </w:rPr>
        <w:t>核心区云平台厂商、容灾管理平台厂商具备兼容性</w:t>
      </w:r>
      <w:r>
        <w:rPr>
          <w:rFonts w:hint="eastAsia" w:ascii="宋体" w:hAnsi="宋体" w:eastAsia="宋体" w:cs="宋体"/>
          <w:kern w:val="0"/>
          <w:sz w:val="24"/>
          <w:szCs w:val="24"/>
        </w:rPr>
        <w:t>，须提供专项承诺函加盖投标人公章</w:t>
      </w:r>
      <w:r>
        <w:rPr>
          <w:rFonts w:hint="eastAsia" w:ascii="宋体" w:hAnsi="宋体" w:eastAsia="宋体" w:cs="宋体"/>
          <w:kern w:val="0"/>
          <w:sz w:val="23"/>
          <w:szCs w:val="23"/>
        </w:rPr>
        <w:t>。</w:t>
      </w:r>
    </w:p>
    <w:p w14:paraId="7558A9D4">
      <w:pPr>
        <w:widowControl/>
        <w:spacing w:after="150" w:line="300" w:lineRule="atLeast"/>
        <w:ind w:firstLine="435"/>
        <w:jc w:val="left"/>
        <w:rPr>
          <w:rFonts w:ascii="宋体" w:hAnsi="宋体" w:eastAsia="宋体" w:cs="宋体"/>
          <w:kern w:val="0"/>
          <w:sz w:val="24"/>
          <w:szCs w:val="24"/>
        </w:rPr>
      </w:pPr>
      <w:r>
        <w:rPr>
          <w:rFonts w:hint="eastAsia" w:ascii="宋体" w:hAnsi="宋体" w:eastAsia="宋体" w:cs="宋体"/>
          <w:kern w:val="0"/>
          <w:sz w:val="24"/>
          <w:szCs w:val="24"/>
        </w:rPr>
        <w:t>3)</w:t>
      </w:r>
      <w:r>
        <w:rPr>
          <w:rFonts w:ascii="Times New Roman" w:hAnsi="Times New Roman" w:eastAsia="宋体" w:cs="Times New Roman"/>
          <w:kern w:val="0"/>
          <w:sz w:val="14"/>
          <w:szCs w:val="14"/>
        </w:rPr>
        <w:t>   </w:t>
      </w:r>
      <w:r>
        <w:rPr>
          <w:rFonts w:hint="eastAsia" w:ascii="宋体" w:hAnsi="宋体" w:eastAsia="宋体" w:cs="宋体"/>
          <w:kern w:val="0"/>
          <w:sz w:val="23"/>
          <w:szCs w:val="23"/>
        </w:rPr>
        <w:t>为保证分布式文件存储和分布式对象存储的可用性，本次投标所提供的分布式存储软件需与现有的核心区云平台无缝对接，并接受云平台的统一纳管和配置下发，以便于进行业务的自动开通。同时，需接受现有核心区容灾管理平台的统一调度，以便于进行A/B中心的容灾切换。投标人需承诺所投分布式文件存储和分布式对象存储</w:t>
      </w:r>
      <w:r>
        <w:rPr>
          <w:rFonts w:hint="eastAsia" w:ascii="宋体" w:hAnsi="宋体" w:eastAsia="宋体" w:cs="宋体"/>
          <w:kern w:val="0"/>
          <w:sz w:val="24"/>
          <w:szCs w:val="24"/>
        </w:rPr>
        <w:t>与现有</w:t>
      </w:r>
      <w:r>
        <w:rPr>
          <w:rFonts w:hint="eastAsia" w:ascii="宋体" w:hAnsi="宋体" w:eastAsia="宋体" w:cs="宋体"/>
          <w:kern w:val="0"/>
          <w:sz w:val="23"/>
          <w:szCs w:val="23"/>
        </w:rPr>
        <w:t>核心区云平台厂商、容灾管理平台厂商具备兼容性</w:t>
      </w:r>
      <w:r>
        <w:rPr>
          <w:rFonts w:hint="eastAsia" w:ascii="宋体" w:hAnsi="宋体" w:eastAsia="宋体" w:cs="宋体"/>
          <w:kern w:val="0"/>
          <w:sz w:val="24"/>
          <w:szCs w:val="24"/>
        </w:rPr>
        <w:t>，须提供专项承诺函加盖投标人公章。</w:t>
      </w:r>
    </w:p>
    <w:p w14:paraId="286883E3">
      <w:pPr>
        <w:widowControl/>
        <w:spacing w:after="150" w:line="300" w:lineRule="atLeast"/>
        <w:ind w:firstLine="435"/>
        <w:jc w:val="left"/>
        <w:rPr>
          <w:rFonts w:ascii="宋体" w:hAnsi="宋体" w:eastAsia="宋体" w:cs="宋体"/>
          <w:kern w:val="0"/>
          <w:sz w:val="24"/>
          <w:szCs w:val="24"/>
        </w:rPr>
      </w:pPr>
      <w:r>
        <w:rPr>
          <w:rFonts w:hint="eastAsia" w:ascii="宋体" w:hAnsi="宋体" w:eastAsia="宋体" w:cs="宋体"/>
          <w:kern w:val="0"/>
          <w:sz w:val="24"/>
          <w:szCs w:val="24"/>
        </w:rPr>
        <w:t>4)</w:t>
      </w:r>
      <w:r>
        <w:rPr>
          <w:rFonts w:ascii="Times New Roman" w:hAnsi="Times New Roman" w:eastAsia="宋体" w:cs="Times New Roman"/>
          <w:kern w:val="0"/>
          <w:sz w:val="14"/>
          <w:szCs w:val="14"/>
        </w:rPr>
        <w:t>   </w:t>
      </w:r>
      <w:r>
        <w:rPr>
          <w:rFonts w:hint="eastAsia" w:ascii="宋体" w:hAnsi="宋体" w:eastAsia="宋体" w:cs="宋体"/>
          <w:kern w:val="0"/>
          <w:sz w:val="23"/>
          <w:szCs w:val="23"/>
        </w:rPr>
        <w:t>为保证信息平台网络业务的自动化部署，新增的服务器接入交换机、内外网数据交换区交换机需与现有的核心区云平台SDN控制器无缝对接，并能够接受SDN控制器下发的配置进行业务自动开通。投标人需承诺所投交换机</w:t>
      </w:r>
      <w:r>
        <w:rPr>
          <w:rFonts w:hint="eastAsia" w:ascii="宋体" w:hAnsi="宋体" w:eastAsia="宋体" w:cs="宋体"/>
          <w:kern w:val="0"/>
          <w:sz w:val="24"/>
          <w:szCs w:val="24"/>
        </w:rPr>
        <w:t>现有</w:t>
      </w:r>
      <w:r>
        <w:rPr>
          <w:rFonts w:hint="eastAsia" w:ascii="宋体" w:hAnsi="宋体" w:eastAsia="宋体" w:cs="宋体"/>
          <w:kern w:val="0"/>
          <w:sz w:val="23"/>
          <w:szCs w:val="23"/>
        </w:rPr>
        <w:t>核心区云平台厂商、容灾管理平台厂商具备兼容性</w:t>
      </w:r>
      <w:r>
        <w:rPr>
          <w:rFonts w:hint="eastAsia" w:ascii="宋体" w:hAnsi="宋体" w:eastAsia="宋体" w:cs="宋体"/>
          <w:kern w:val="0"/>
          <w:sz w:val="24"/>
          <w:szCs w:val="24"/>
        </w:rPr>
        <w:t>，须提供专项承诺函加盖投标人公章</w:t>
      </w:r>
      <w:r>
        <w:rPr>
          <w:rFonts w:hint="eastAsia" w:ascii="宋体" w:hAnsi="宋体" w:eastAsia="宋体" w:cs="宋体"/>
          <w:kern w:val="0"/>
          <w:sz w:val="23"/>
          <w:szCs w:val="23"/>
        </w:rPr>
        <w:t>。</w:t>
      </w:r>
    </w:p>
    <w:p w14:paraId="16C2DE18">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5)</w:t>
      </w:r>
      <w:r>
        <w:rPr>
          <w:rFonts w:ascii="Times New Roman" w:hAnsi="Times New Roman" w:eastAsia="宋体" w:cs="Times New Roman"/>
          <w:kern w:val="0"/>
          <w:sz w:val="14"/>
          <w:szCs w:val="14"/>
        </w:rPr>
        <w:t>  </w:t>
      </w:r>
      <w:r>
        <w:rPr>
          <w:rFonts w:hint="eastAsia" w:ascii="宋体" w:hAnsi="宋体" w:eastAsia="宋体" w:cs="宋体"/>
          <w:kern w:val="0"/>
          <w:sz w:val="24"/>
          <w:szCs w:val="24"/>
        </w:rPr>
        <w:t>投标人承诺协助完成等保2.0三级等保测评、性能测评、密码测评工作。</w:t>
      </w:r>
    </w:p>
    <w:p w14:paraId="64AE25C9">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6)</w:t>
      </w:r>
      <w:r>
        <w:rPr>
          <w:rFonts w:ascii="Times New Roman" w:hAnsi="Times New Roman" w:eastAsia="宋体" w:cs="Times New Roman"/>
          <w:kern w:val="0"/>
          <w:sz w:val="14"/>
          <w:szCs w:val="14"/>
        </w:rPr>
        <w:t>  </w:t>
      </w:r>
      <w:r>
        <w:rPr>
          <w:rFonts w:hint="eastAsia" w:ascii="宋体" w:hAnsi="宋体" w:eastAsia="宋体" w:cs="宋体"/>
          <w:kern w:val="0"/>
          <w:sz w:val="24"/>
          <w:szCs w:val="24"/>
        </w:rPr>
        <w:t>投标人承诺所投设备数量及配置不低于招标货物清单数量及配置要求，确保建设按照国家局技术标准和规定的时间要求通过省数字办验收。投标人需协助省医保局完成国家局对平台的验收工作。</w:t>
      </w:r>
    </w:p>
    <w:p w14:paraId="75DFAA65">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7)</w:t>
      </w:r>
      <w:r>
        <w:rPr>
          <w:rFonts w:ascii="Times New Roman" w:hAnsi="Times New Roman" w:eastAsia="宋体" w:cs="Times New Roman"/>
          <w:kern w:val="0"/>
          <w:sz w:val="14"/>
          <w:szCs w:val="14"/>
        </w:rPr>
        <w:t>  </w:t>
      </w:r>
      <w:r>
        <w:rPr>
          <w:rFonts w:hint="eastAsia" w:ascii="宋体" w:hAnsi="宋体" w:eastAsia="宋体" w:cs="宋体"/>
          <w:kern w:val="0"/>
          <w:sz w:val="24"/>
          <w:szCs w:val="24"/>
        </w:rPr>
        <w:t>投标人应对招标货物清单的软硬件到货时间及完成时间做出承诺，中标公示后15个日历日内到货，中标公示后25个日历日内完成整个系统的软、硬件现场上架、布线、安装、调测，软、硬件部署系统联调工作并正式进入试运行阶段，每延迟1天扣除合同金额0.01% 。</w:t>
      </w:r>
    </w:p>
    <w:p w14:paraId="4EA2ABCC">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8)</w:t>
      </w:r>
      <w:r>
        <w:rPr>
          <w:rFonts w:ascii="Times New Roman" w:hAnsi="Times New Roman" w:eastAsia="宋体" w:cs="Times New Roman"/>
          <w:kern w:val="0"/>
          <w:sz w:val="14"/>
          <w:szCs w:val="14"/>
        </w:rPr>
        <w:t>  </w:t>
      </w:r>
      <w:r>
        <w:rPr>
          <w:rFonts w:hint="eastAsia" w:ascii="宋体" w:hAnsi="宋体" w:eastAsia="宋体" w:cs="宋体"/>
          <w:kern w:val="0"/>
          <w:sz w:val="24"/>
          <w:szCs w:val="24"/>
        </w:rPr>
        <w:t>投标人须承诺数据库节点扩容不停机实施（不含数据库分片再平衡、数据库数据迁移、业务数据迁移），并且保障业务平稳运行。若停机每超过60分钟，扣除中标金额的0.01%（超过60分钟部分，不满60分钟按60分钟计算）。</w:t>
      </w:r>
    </w:p>
    <w:p w14:paraId="6151FEAF">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9)</w:t>
      </w:r>
      <w:r>
        <w:rPr>
          <w:rFonts w:ascii="Times New Roman" w:hAnsi="Times New Roman" w:eastAsia="宋体" w:cs="Times New Roman"/>
          <w:kern w:val="0"/>
          <w:sz w:val="14"/>
          <w:szCs w:val="14"/>
        </w:rPr>
        <w:t>  </w:t>
      </w:r>
      <w:r>
        <w:rPr>
          <w:rFonts w:hint="eastAsia" w:ascii="宋体" w:hAnsi="宋体" w:eastAsia="宋体" w:cs="宋体"/>
          <w:kern w:val="0"/>
          <w:sz w:val="24"/>
          <w:szCs w:val="24"/>
        </w:rPr>
        <w:t>为保障招标人的售 后服务正当权益，投标人所投货物在原厂商售后系统服务系统中最终用户名 称与招标人名 称一致。</w:t>
      </w:r>
    </w:p>
    <w:p w14:paraId="58FFFF59">
      <w:pPr>
        <w:widowControl/>
        <w:spacing w:before="300" w:after="150"/>
        <w:jc w:val="left"/>
        <w:rPr>
          <w:rFonts w:ascii="宋体" w:hAnsi="宋体" w:eastAsia="宋体" w:cs="宋体"/>
          <w:kern w:val="0"/>
          <w:sz w:val="24"/>
          <w:szCs w:val="24"/>
        </w:rPr>
      </w:pPr>
      <w:r>
        <w:rPr>
          <w:rFonts w:hint="eastAsia" w:ascii="宋体" w:hAnsi="宋体" w:eastAsia="宋体" w:cs="宋体"/>
          <w:kern w:val="0"/>
          <w:sz w:val="24"/>
          <w:szCs w:val="24"/>
        </w:rPr>
        <w:t>9.数据库适配要求</w:t>
      </w:r>
    </w:p>
    <w:p w14:paraId="58515EF2">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本项目计划采购的分布式数据库将充分融入现有核心区数据库业务集群中，全面承载各类医保核心业务系统。为实现全省医保数据的统筹贯通，避免因数据载体技术的差异产生新的数据孤岛，本次需采取与核心区同技术体系的分布式数据库产品，从数据库层面打通医疗保障服务的最后一公里。同时，福建省医疗保障信息平台秉持一体化、平台化、集约化建设的理念，本次采购的分布式数据库应应可由现行的医保数据中心管理平台以云服务形态自动下发部署，可融入医保数据中心现有运维监控体系。鉴于分布式数据库是承载医保实时经办、异地结算等民生业务的关键基石，本项目规划采购的分布式数据库产品需能基于现有核心区数据库集群在线平滑扩容与迁移，满足业务系统零停机维护的可靠性要求。数据库提供商也需对现有的应用环境、数据库环境及用途应有较深的理解，提供保障业务平稳运行的整体数据库运行环境。</w:t>
      </w:r>
    </w:p>
    <w:p w14:paraId="353D8797">
      <w:pPr>
        <w:widowControl/>
        <w:spacing w:before="300" w:after="150"/>
        <w:jc w:val="left"/>
        <w:rPr>
          <w:rFonts w:ascii="宋体" w:hAnsi="宋体" w:eastAsia="宋体" w:cs="宋体"/>
          <w:kern w:val="0"/>
          <w:sz w:val="24"/>
          <w:szCs w:val="24"/>
        </w:rPr>
      </w:pPr>
      <w:r>
        <w:rPr>
          <w:rFonts w:hint="eastAsia" w:ascii="宋体" w:hAnsi="宋体" w:eastAsia="宋体" w:cs="宋体"/>
          <w:kern w:val="0"/>
          <w:sz w:val="24"/>
          <w:szCs w:val="24"/>
        </w:rPr>
        <w:t>10.项目建设要求</w:t>
      </w:r>
    </w:p>
    <w:p w14:paraId="3A9082AC">
      <w:pPr>
        <w:widowControl/>
        <w:spacing w:before="150" w:after="150"/>
        <w:jc w:val="left"/>
        <w:rPr>
          <w:rFonts w:ascii="宋体" w:hAnsi="宋体" w:eastAsia="宋体" w:cs="宋体"/>
          <w:kern w:val="0"/>
          <w:sz w:val="24"/>
          <w:szCs w:val="24"/>
        </w:rPr>
      </w:pPr>
      <w:r>
        <w:rPr>
          <w:rFonts w:hint="eastAsia" w:ascii="宋体" w:hAnsi="宋体" w:eastAsia="宋体" w:cs="宋体"/>
          <w:kern w:val="0"/>
          <w:sz w:val="24"/>
          <w:szCs w:val="24"/>
        </w:rPr>
        <w:t>10.1系统集成及管理要求</w:t>
      </w:r>
    </w:p>
    <w:p w14:paraId="521FD820">
      <w:pPr>
        <w:widowControl/>
        <w:spacing w:before="150" w:after="150"/>
        <w:jc w:val="left"/>
        <w:rPr>
          <w:rFonts w:ascii="宋体" w:hAnsi="宋体" w:eastAsia="宋体" w:cs="宋体"/>
          <w:kern w:val="0"/>
          <w:sz w:val="24"/>
          <w:szCs w:val="24"/>
        </w:rPr>
      </w:pPr>
      <w:r>
        <w:rPr>
          <w:rFonts w:hint="eastAsia" w:ascii="宋体" w:hAnsi="宋体" w:eastAsia="宋体" w:cs="宋体"/>
          <w:kern w:val="0"/>
          <w:sz w:val="24"/>
          <w:szCs w:val="24"/>
        </w:rPr>
        <w:t>10.1.1风险管控要求</w:t>
      </w:r>
    </w:p>
    <w:p w14:paraId="48F7D590">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由于本期属于一期项目的基础设施资源扩容增补，因此投标人应结合一期项目的建设情况描述项目风险管控的办法，建立风险识别和风险评估机制，并以此为基础编制各种风险分析和规避方案，使工期、质量、安全等控制目标得到控制。</w:t>
      </w:r>
    </w:p>
    <w:p w14:paraId="363F8098">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本项目建设任务较重、进度要求高、涉及单位多，为确保工程实施顺利，需要对项目可能产生的风险进行识别和分析，以采取相应的措施，消除或降低风险带来的不良影响，实现工程的建设目标。</w:t>
      </w:r>
    </w:p>
    <w:p w14:paraId="39518C81">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根据项目的建设内容、建设方案及进度计划，在本项目中可能存在的潜在风险包括以下几个方面：</w:t>
      </w:r>
    </w:p>
    <w:p w14:paraId="658AB14B">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b/>
          <w:bCs/>
          <w:kern w:val="0"/>
          <w:sz w:val="24"/>
          <w:szCs w:val="24"/>
        </w:rPr>
        <w:t>1）工程风险</w:t>
      </w:r>
    </w:p>
    <w:p w14:paraId="5983BD96">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（1）沟通协调风险：由于项目涉及多地实施现场，并且需要与招标人、一期项目实施运维团队等沟通协调交流，需要多方面的配合，工作组织和协调难度较大，存在沟通协调不畅的风险。</w:t>
      </w:r>
    </w:p>
    <w:p w14:paraId="70E73928">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2）工程进度风险：由于本项目是一期增补项目，在本期建设工程中需了解一期建设内容与一期重要工程节点，建设任务较重、进度要求高，在计划时间内完成各项建设任务有较大难度，需提前做好工程风险预案避免进度延误的风险。</w:t>
      </w:r>
    </w:p>
    <w:p w14:paraId="2512BD3B">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b/>
          <w:bCs/>
          <w:kern w:val="0"/>
          <w:sz w:val="24"/>
          <w:szCs w:val="24"/>
        </w:rPr>
        <w:t>2）运维风险</w:t>
      </w:r>
    </w:p>
    <w:p w14:paraId="2E377E53">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信息化建设普遍存在“重建设、轻维护”的问题，建设阶段的资金投入、人员投入都比较充分，在维护阶段投入相对少很多，导致系统无法高效持续运转。本项目在建设完成后，还需要持续运维。这不但对资金人力投入有较高要求，而且协调难度也不亚于一期新建设阶段。这些因素都对现有系统的运维阶段是否正常高效运行产生不利影响。</w:t>
      </w:r>
    </w:p>
    <w:p w14:paraId="14023522">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了解项目风险，项目建设单位和承建单位/服务提供单位应根据不同风险因素提出相应的规避和防范对策，以期减少可能的损失，确保项目能够顺利实施。</w:t>
      </w:r>
    </w:p>
    <w:p w14:paraId="778D074D">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（1）承建单位/服务提供单位需衔接一期运维工作内容，保障一期原有建设系统的高效运行。</w:t>
      </w:r>
    </w:p>
    <w:p w14:paraId="73ADA1F1">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（2）本期项目总体数据库迁移数多而复杂，承建单位/服务提供单位要求在数据迁移前对现有的应用环境、数据库环境及集群用途有较深的理解，需要规划设 计满足不停机维护保障业务平稳运行的整体数据库迁移方案</w:t>
      </w:r>
    </w:p>
    <w:p w14:paraId="4EE2233A">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（3）项目建设领导小组协调项目涉及的各机构，通过内部公文、邮件等形式宣贯项目的重要性及配合范围。</w:t>
      </w:r>
    </w:p>
    <w:p w14:paraId="312B16A5">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（4）承建单位/服务提供单位运用科学的进度管理方法，确保整个项目按步骤、有计划、高效率、高质量的进行。</w:t>
      </w:r>
    </w:p>
    <w:p w14:paraId="3FB0E7CF">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（5）承建单位/服务提供单位加强对项目运行、维护、管理技术人员和对业务人员的技术培训；储备一定规模的项目技术人员；建立技术培训、交流机制；加强技术文档的管理。</w:t>
      </w:r>
    </w:p>
    <w:p w14:paraId="7A28DEDC">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b/>
          <w:bCs/>
          <w:kern w:val="0"/>
          <w:sz w:val="24"/>
          <w:szCs w:val="24"/>
        </w:rPr>
        <w:t>3）技术风险</w:t>
      </w:r>
    </w:p>
    <w:p w14:paraId="255ED727">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（1）由于本项目涉及4000万医保民生工程，要求数据安全性高。数据库数据平滑迁移与数据分片的过程要确保无数据丢失，承建单位/服务提供单位提前做好迁移预案分析评估工作。</w:t>
      </w:r>
    </w:p>
    <w:p w14:paraId="25944C2A">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（2）本项目为一期增补项目，需要承建单位/服务提供单位提前了解一期建设内容与使用设备内容，所提供的软硬件设备需提前评估是否兼容一期采购的软硬件系统，满足系统平滑扩容的需求。</w:t>
      </w:r>
    </w:p>
    <w:p w14:paraId="4919FC73">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（3）本期项目总体数据库迁移数多而复杂，承建单位/服务提供单位要求在迁移前对现有的应用环境、数据库环境及用途应有较深的理解，需要规划设 计满足不停机维护保障业务平稳运行的整体数据库迁移。</w:t>
      </w:r>
    </w:p>
    <w:p w14:paraId="7B725157">
      <w:pPr>
        <w:widowControl/>
        <w:spacing w:before="150" w:after="150"/>
        <w:jc w:val="left"/>
        <w:rPr>
          <w:rFonts w:ascii="宋体" w:hAnsi="宋体" w:eastAsia="宋体" w:cs="宋体"/>
          <w:kern w:val="0"/>
          <w:sz w:val="24"/>
          <w:szCs w:val="24"/>
        </w:rPr>
      </w:pPr>
      <w:r>
        <w:rPr>
          <w:rFonts w:hint="eastAsia" w:ascii="宋体" w:hAnsi="宋体" w:eastAsia="宋体" w:cs="宋体"/>
          <w:kern w:val="0"/>
          <w:sz w:val="24"/>
          <w:szCs w:val="24"/>
        </w:rPr>
        <w:t>10.1.2运维管理服务要求</w:t>
      </w:r>
    </w:p>
    <w:p w14:paraId="6B7D4908">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提供完善的售 后服务与运维服务，要求投标人对本项目运维管理服务有充分的理解，包括但不限于服务内容、响应时间、故障处理、服务质量保证措施等，做好本次采购用于核心区的300套虚拟机操作系统的运维工作，并保障信息平台所有的业务系统在运维期内能够得到安全稳定运行。</w:t>
      </w:r>
    </w:p>
    <w:p w14:paraId="29694AF6">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b/>
          <w:bCs/>
          <w:kern w:val="0"/>
          <w:sz w:val="24"/>
          <w:szCs w:val="24"/>
        </w:rPr>
        <w:t>1）运行维护管理体系</w:t>
      </w:r>
    </w:p>
    <w:p w14:paraId="71E345CD">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运行维护体系包括运行维护组织、运行维护流程、运行维护制度、运行维护内容、运行维护手段和工具、运行维护队伍等六个方面的内容，它们既相互依存又相互制约，可以同步建设，也可以随着应用的开展而逐步完善。</w:t>
      </w:r>
    </w:p>
    <w:p w14:paraId="6E06D79C">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运行维护组织中的运行维护人员按照运行维护制度，采用各种技术支持手段和工具，遵循运行维护流程完成本项目的运行维护工作。</w:t>
      </w:r>
    </w:p>
    <w:p w14:paraId="3BBEF06A">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b/>
          <w:bCs/>
          <w:kern w:val="0"/>
          <w:sz w:val="24"/>
          <w:szCs w:val="24"/>
        </w:rPr>
        <w:t>2）运行维护管理制度</w:t>
      </w:r>
    </w:p>
    <w:p w14:paraId="6AC252FE">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为确保运行维护工作正常、有序、高质地进行，必须针对运行维护的管理流程和内容，制定相应的运行维护管理制度，实现各项工作的规范化管理。运行维护管理制度可分为：网络管理制度、系统和应用管理制度、安全管理制度、存储备份管理制度、故障管理制度、技术支持工具管理制度、人员管理制度和质量考核制度等。</w:t>
      </w:r>
    </w:p>
    <w:p w14:paraId="5DC37BDA">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（1）网络管理制度：包括网络的准入管理制度、网络的配置管理制度、网络的运行/监控管理制度等。</w:t>
      </w:r>
    </w:p>
    <w:p w14:paraId="4DEE21EB">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（2）系统和应用管理制度：包括对主机、数据库、中间件、应用系统的配置管理制度、运行/监控管理制度、数据管理制度等。</w:t>
      </w:r>
    </w:p>
    <w:p w14:paraId="1FD67901">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（3）安全管理制度：包括网络、主机、数据库、中间件、应用软件、数据的安全管理制度及安全事故应急处理制度。</w:t>
      </w:r>
    </w:p>
    <w:p w14:paraId="78DD5BD5">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（4）存储备份管理制度：包括备份数据的管理制度和备份设备的管理制度。</w:t>
      </w:r>
    </w:p>
    <w:p w14:paraId="73D2C627">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（5）故障管理制度：包括对故障处理过程的管理制度、故障处理流程的变更管理制度、故障信息利用的管理制度及重大故障的应急管理制度等。</w:t>
      </w:r>
    </w:p>
    <w:p w14:paraId="23DA1098">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（6）技术支持工具管理制度：包括对日常运行维护平台、用户问题受理平台（呼叫中心）、故障处理和问题跟踪系统、运行维护知识库、决策分析系统等的使用、维护的有关制度。</w:t>
      </w:r>
    </w:p>
    <w:p w14:paraId="6E47D8F2">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（7）人员管理制度：包括对运行维护人员的能级管理制度、奖惩制度、考核制度、系统外部人力资源使用的管理制度等。</w:t>
      </w:r>
    </w:p>
    <w:p w14:paraId="049AD70F">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（8）质量考核制度：制定相关制度，对以上各类制度的执行情况进行考核。</w:t>
      </w:r>
    </w:p>
    <w:p w14:paraId="7AA2F767">
      <w:pPr>
        <w:widowControl/>
        <w:spacing w:before="150" w:after="150"/>
        <w:jc w:val="left"/>
        <w:rPr>
          <w:rFonts w:ascii="宋体" w:hAnsi="宋体" w:eastAsia="宋体" w:cs="宋体"/>
          <w:kern w:val="0"/>
          <w:sz w:val="24"/>
          <w:szCs w:val="24"/>
        </w:rPr>
      </w:pPr>
      <w:r>
        <w:rPr>
          <w:rFonts w:hint="eastAsia" w:ascii="宋体" w:hAnsi="宋体" w:eastAsia="宋体" w:cs="宋体"/>
          <w:kern w:val="0"/>
          <w:sz w:val="24"/>
          <w:szCs w:val="24"/>
        </w:rPr>
        <w:t>10.2运维保障要求</w:t>
      </w:r>
    </w:p>
    <w:p w14:paraId="17FBA34D">
      <w:pPr>
        <w:widowControl/>
        <w:spacing w:before="150" w:after="150"/>
        <w:jc w:val="left"/>
        <w:rPr>
          <w:rFonts w:ascii="宋体" w:hAnsi="宋体" w:eastAsia="宋体" w:cs="宋体"/>
          <w:kern w:val="0"/>
          <w:sz w:val="24"/>
          <w:szCs w:val="24"/>
        </w:rPr>
      </w:pPr>
      <w:r>
        <w:rPr>
          <w:rFonts w:hint="eastAsia" w:ascii="宋体" w:hAnsi="宋体" w:eastAsia="宋体" w:cs="宋体"/>
          <w:kern w:val="0"/>
          <w:sz w:val="24"/>
          <w:szCs w:val="24"/>
        </w:rPr>
        <w:t>10.2.1设备故障修复服务</w:t>
      </w:r>
    </w:p>
    <w:p w14:paraId="446C00EB">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b/>
          <w:bCs/>
          <w:kern w:val="0"/>
          <w:sz w:val="24"/>
          <w:szCs w:val="24"/>
        </w:rPr>
        <w:t>1）总体要求</w:t>
      </w:r>
    </w:p>
    <w:p w14:paraId="0E2946FF">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中标人应根据招标人申告的故障级别，采取必要的服务措施(包括调整)，尽快修复故障，恢复设备正常运行。中标人可通过电话指导、远程登陆或现场服务等方式进行故障修复，并保证满足双方约定的服务等级中相应故障级别的处理时限。</w:t>
      </w:r>
    </w:p>
    <w:p w14:paraId="514BE04D">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覆盖一期内容（运维的连续性与统一性）</w:t>
      </w:r>
    </w:p>
    <w:p w14:paraId="32355DEE">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根据故障的严重程度和影响程度的不同，故障级别由低到高分为三级故障、二级故障和一级故障。当故障没有在规定时限内恢复或解决时，故障级别将自动升级(如双方协商一致认为没有必要，也可不做升级处理)。各业务系统故障级别有甲乙双方协商确定。</w:t>
      </w:r>
    </w:p>
    <w:p w14:paraId="4BD58180">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一级故障(重大故障)：指设备在运行中出现系统瘫痪或服务中断，导致设备的基本功能不能实现或全面退化的故障；其他造成业务中断1个小时以上或导致关键业务数据丢失的故障。</w:t>
      </w:r>
    </w:p>
    <w:p w14:paraId="30AB4DB0">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二级故障(主要故障)：指设备在运行中出现的直接影响业务、并导致系统性能或业务部分退化的故障；设备在运行中出现的故障具有潜在的系统瘫痪或服务中断的危险，并可能导致设备的基本功能不能实现或全面退化，如冗余设备单侧故障、监控终端故障等；系统设备或操作系统故障，造成业务中断但不满1小时的，如系统复位等。</w:t>
      </w:r>
    </w:p>
    <w:p w14:paraId="74BAA583">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三级故障(次要故障)：指设备在运行中出现的，影响系统功能和性能，但关键业务不受影响的故障。</w:t>
      </w:r>
    </w:p>
    <w:p w14:paraId="42E4CF9C">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b/>
          <w:bCs/>
          <w:kern w:val="0"/>
          <w:sz w:val="24"/>
          <w:szCs w:val="24"/>
        </w:rPr>
        <w:t>2）服务要求</w:t>
      </w:r>
    </w:p>
    <w:p w14:paraId="4255C367">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根据设备在招标人网络中的作用、承载的业务以及重要性不同，中标人应提供不同服务等级的服务，至少应提供以下三个级别的服务，从服务水平由高到低分为A、B、C三级，等级由双方协商一致后决定。</w:t>
      </w:r>
    </w:p>
    <w:p w14:paraId="526E57B7">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A、B、C等级服务的基本区别见下表。</w:t>
      </w:r>
    </w:p>
    <w:tbl>
      <w:tblPr>
        <w:tblStyle w:val="9"/>
        <w:tblW w:w="0" w:type="auto"/>
        <w:tblInd w:w="0" w:type="dxa"/>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2865"/>
        <w:gridCol w:w="4965"/>
      </w:tblGrid>
      <w:tr w14:paraId="557AEEC3">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685504CA">
            <w:pPr>
              <w:widowControl/>
              <w:spacing w:after="150" w:line="300" w:lineRule="atLeast"/>
              <w:ind w:firstLine="195"/>
              <w:jc w:val="center"/>
              <w:rPr>
                <w:rFonts w:ascii="宋体" w:hAnsi="宋体" w:eastAsia="宋体" w:cs="宋体"/>
                <w:kern w:val="0"/>
                <w:sz w:val="24"/>
                <w:szCs w:val="24"/>
              </w:rPr>
            </w:pPr>
            <w:r>
              <w:rPr>
                <w:rFonts w:hint="eastAsia" w:ascii="宋体" w:hAnsi="宋体" w:eastAsia="宋体" w:cs="宋体"/>
                <w:color w:val="000000"/>
                <w:kern w:val="0"/>
                <w:sz w:val="24"/>
                <w:szCs w:val="24"/>
              </w:rPr>
              <w:t>服务等级</w:t>
            </w:r>
          </w:p>
        </w:tc>
        <w:tc>
          <w:tcPr>
            <w:tcW w:w="0" w:type="auto"/>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tcPr>
          <w:p w14:paraId="7AE4C536">
            <w:pPr>
              <w:widowControl/>
              <w:spacing w:after="150" w:line="300" w:lineRule="atLeast"/>
              <w:ind w:firstLine="195"/>
              <w:jc w:val="center"/>
              <w:rPr>
                <w:rFonts w:ascii="宋体" w:hAnsi="宋体" w:eastAsia="宋体" w:cs="宋体"/>
                <w:kern w:val="0"/>
                <w:sz w:val="24"/>
                <w:szCs w:val="24"/>
              </w:rPr>
            </w:pPr>
            <w:r>
              <w:rPr>
                <w:rFonts w:hint="eastAsia" w:ascii="宋体" w:hAnsi="宋体" w:eastAsia="宋体" w:cs="宋体"/>
                <w:color w:val="000000"/>
                <w:kern w:val="0"/>
                <w:sz w:val="24"/>
                <w:szCs w:val="24"/>
              </w:rPr>
              <w:t>服务描述</w:t>
            </w:r>
          </w:p>
        </w:tc>
      </w:tr>
      <w:tr w14:paraId="7872B4A8">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0" w:type="auto"/>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2E5B6DC7">
            <w:pPr>
              <w:widowControl/>
              <w:spacing w:after="150" w:line="300" w:lineRule="atLeast"/>
              <w:ind w:firstLine="195"/>
              <w:jc w:val="left"/>
              <w:rPr>
                <w:rFonts w:ascii="宋体" w:hAnsi="宋体" w:eastAsia="宋体" w:cs="宋体"/>
                <w:kern w:val="0"/>
                <w:sz w:val="24"/>
                <w:szCs w:val="24"/>
              </w:rPr>
            </w:pPr>
            <w:r>
              <w:rPr>
                <w:rFonts w:hint="eastAsia" w:ascii="宋体" w:hAnsi="宋体" w:eastAsia="宋体" w:cs="宋体"/>
                <w:color w:val="000000"/>
                <w:kern w:val="0"/>
                <w:sz w:val="24"/>
                <w:szCs w:val="24"/>
              </w:rPr>
              <w:t>A级 （7x24x10M）</w:t>
            </w: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37674C9D">
            <w:pPr>
              <w:widowControl/>
              <w:spacing w:after="150" w:line="300" w:lineRule="atLeast"/>
              <w:ind w:firstLine="195"/>
              <w:jc w:val="left"/>
              <w:rPr>
                <w:rFonts w:ascii="宋体" w:hAnsi="宋体" w:eastAsia="宋体" w:cs="宋体"/>
                <w:kern w:val="0"/>
                <w:sz w:val="24"/>
                <w:szCs w:val="24"/>
              </w:rPr>
            </w:pPr>
            <w:r>
              <w:rPr>
                <w:rFonts w:hint="eastAsia" w:ascii="宋体" w:hAnsi="宋体" w:eastAsia="宋体" w:cs="宋体"/>
                <w:color w:val="000000"/>
                <w:kern w:val="0"/>
                <w:sz w:val="24"/>
                <w:szCs w:val="24"/>
              </w:rPr>
              <w:t>7x24小时接受申告，10分钟现场响应</w:t>
            </w:r>
          </w:p>
        </w:tc>
      </w:tr>
      <w:tr w14:paraId="627C5CBB">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0" w:type="auto"/>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61DDCEF0">
            <w:pPr>
              <w:widowControl/>
              <w:spacing w:after="150" w:line="300" w:lineRule="atLeast"/>
              <w:ind w:firstLine="195"/>
              <w:jc w:val="left"/>
              <w:rPr>
                <w:rFonts w:ascii="宋体" w:hAnsi="宋体" w:eastAsia="宋体" w:cs="宋体"/>
                <w:kern w:val="0"/>
                <w:sz w:val="24"/>
                <w:szCs w:val="24"/>
              </w:rPr>
            </w:pPr>
            <w:r>
              <w:rPr>
                <w:rFonts w:hint="eastAsia" w:ascii="宋体" w:hAnsi="宋体" w:eastAsia="宋体" w:cs="宋体"/>
                <w:color w:val="000000"/>
                <w:kern w:val="0"/>
                <w:sz w:val="24"/>
                <w:szCs w:val="24"/>
              </w:rPr>
              <w:t>B级 （7x24x4wH）</w:t>
            </w: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50372558">
            <w:pPr>
              <w:widowControl/>
              <w:spacing w:after="150" w:line="300" w:lineRule="atLeast"/>
              <w:ind w:firstLine="195"/>
              <w:jc w:val="left"/>
              <w:rPr>
                <w:rFonts w:ascii="宋体" w:hAnsi="宋体" w:eastAsia="宋体" w:cs="宋体"/>
                <w:kern w:val="0"/>
                <w:sz w:val="24"/>
                <w:szCs w:val="24"/>
              </w:rPr>
            </w:pPr>
            <w:r>
              <w:rPr>
                <w:rFonts w:hint="eastAsia" w:ascii="宋体" w:hAnsi="宋体" w:eastAsia="宋体" w:cs="宋体"/>
                <w:color w:val="000000"/>
                <w:kern w:val="0"/>
                <w:sz w:val="24"/>
                <w:szCs w:val="24"/>
              </w:rPr>
              <w:t>7x24小时接受申告，4个工作小时现场响应</w:t>
            </w:r>
          </w:p>
        </w:tc>
      </w:tr>
      <w:tr w14:paraId="5D794A14">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0" w:type="auto"/>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546999CF">
            <w:pPr>
              <w:widowControl/>
              <w:spacing w:after="150" w:line="300" w:lineRule="atLeast"/>
              <w:ind w:firstLine="195"/>
              <w:jc w:val="left"/>
              <w:rPr>
                <w:rFonts w:ascii="宋体" w:hAnsi="宋体" w:eastAsia="宋体" w:cs="宋体"/>
                <w:kern w:val="0"/>
                <w:sz w:val="24"/>
                <w:szCs w:val="24"/>
              </w:rPr>
            </w:pPr>
            <w:r>
              <w:rPr>
                <w:rFonts w:hint="eastAsia" w:ascii="宋体" w:hAnsi="宋体" w:eastAsia="宋体" w:cs="宋体"/>
                <w:color w:val="000000"/>
                <w:kern w:val="0"/>
                <w:sz w:val="24"/>
                <w:szCs w:val="24"/>
              </w:rPr>
              <w:t>C级 （7x24Next Day）</w:t>
            </w: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5DF8650C">
            <w:pPr>
              <w:widowControl/>
              <w:spacing w:after="150" w:line="300" w:lineRule="atLeast"/>
              <w:ind w:firstLine="195"/>
              <w:jc w:val="left"/>
              <w:rPr>
                <w:rFonts w:ascii="宋体" w:hAnsi="宋体" w:eastAsia="宋体" w:cs="宋体"/>
                <w:kern w:val="0"/>
                <w:sz w:val="24"/>
                <w:szCs w:val="24"/>
              </w:rPr>
            </w:pPr>
            <w:r>
              <w:rPr>
                <w:rFonts w:hint="eastAsia" w:ascii="宋体" w:hAnsi="宋体" w:eastAsia="宋体" w:cs="宋体"/>
                <w:color w:val="000000"/>
                <w:kern w:val="0"/>
                <w:sz w:val="24"/>
                <w:szCs w:val="24"/>
              </w:rPr>
              <w:t>7x24小时接受申告，第二天现场响应</w:t>
            </w:r>
          </w:p>
        </w:tc>
      </w:tr>
    </w:tbl>
    <w:p w14:paraId="652C979A">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 </w:t>
      </w:r>
    </w:p>
    <w:p w14:paraId="273FF207">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b/>
          <w:bCs/>
          <w:kern w:val="0"/>
          <w:sz w:val="24"/>
          <w:szCs w:val="24"/>
        </w:rPr>
        <w:t>3）电话响应</w:t>
      </w:r>
    </w:p>
    <w:p w14:paraId="32B7E053">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中标人设立7×24小时的值班响应电话，并安排有经验的工程师接受申告。当设备出现故障时，招标人通过中标人指 定的值班响应电话进行报障。</w:t>
      </w:r>
    </w:p>
    <w:p w14:paraId="1CC1674F">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b/>
          <w:bCs/>
          <w:kern w:val="0"/>
          <w:sz w:val="24"/>
          <w:szCs w:val="24"/>
        </w:rPr>
        <w:t>4）远程支持服务</w:t>
      </w:r>
    </w:p>
    <w:p w14:paraId="7A33D744">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对于通过电话指导不能解决的故障，中标人在征得招标人同意后，应通过远程接入手段，登录到故障设备，进行故障诊断，查找故障出现的原因，指导现场维护人员处理故障。</w:t>
      </w:r>
    </w:p>
    <w:p w14:paraId="10FF4A1A">
      <w:pPr>
        <w:widowControl/>
        <w:spacing w:after="150" w:line="300" w:lineRule="atLeast"/>
        <w:jc w:val="left"/>
        <w:rPr>
          <w:rFonts w:ascii="宋体" w:hAnsi="宋体" w:eastAsia="宋体" w:cs="宋体"/>
          <w:kern w:val="0"/>
          <w:sz w:val="24"/>
          <w:szCs w:val="24"/>
        </w:rPr>
      </w:pPr>
      <w:r>
        <w:rPr>
          <w:rFonts w:hint="eastAsia" w:ascii="宋体" w:hAnsi="宋体" w:eastAsia="宋体" w:cs="宋体"/>
          <w:kern w:val="0"/>
          <w:sz w:val="24"/>
          <w:szCs w:val="24"/>
        </w:rPr>
        <w:t>要求：</w:t>
      </w:r>
    </w:p>
    <w:p w14:paraId="6BEDD487">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招标人应提供(或向中标人购买)必要的远程技术支援的设备。如果远程技术支援的设备由中标人提供，应保证该设备具备安全管理功能，能防止非法登录以保证设备和交换网络安全。</w:t>
      </w:r>
    </w:p>
    <w:p w14:paraId="4C8E71E2">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中标人服务人员登录到故障设备，通过诊断，分析故障产生的原因，制定故障解决技术方案后，应电话通知招标人，待技术方案经招标人批准后，才能进行故障解决方案的具体实施。</w:t>
      </w:r>
    </w:p>
    <w:p w14:paraId="5418E77C">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在远程登录过程中，中标人技术人员通过远程登录手段向设备发送的任何指令、报告回显必须形成命令日志文件；故障处理完毕或告一段落，应形成故障处理报告，同命令日志文件一同发送给招标人。</w:t>
      </w:r>
    </w:p>
    <w:p w14:paraId="2475A343">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对于不同级别的故障，远程支持服务的响应时限要求（从中标人向招标人确认电话指导不能排除故障，要求远程技术支持到中标人技术人员远程登录到设备的时间）见下表。</w:t>
      </w:r>
    </w:p>
    <w:tbl>
      <w:tblPr>
        <w:tblStyle w:val="9"/>
        <w:tblW w:w="0" w:type="auto"/>
        <w:tblInd w:w="0" w:type="dxa"/>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1755"/>
        <w:gridCol w:w="1800"/>
        <w:gridCol w:w="1800"/>
        <w:gridCol w:w="1800"/>
      </w:tblGrid>
      <w:tr w14:paraId="1E9AF429">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blHeader/>
        </w:trPr>
        <w:tc>
          <w:tcPr>
            <w:tcW w:w="175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50F134EA">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故障级别</w:t>
            </w:r>
          </w:p>
        </w:tc>
        <w:tc>
          <w:tcPr>
            <w:tcW w:w="180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tcPr>
          <w:p w14:paraId="525CA65D">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服务级别A</w:t>
            </w:r>
          </w:p>
        </w:tc>
        <w:tc>
          <w:tcPr>
            <w:tcW w:w="180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tcPr>
          <w:p w14:paraId="6315C4DF">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服务级别B</w:t>
            </w:r>
          </w:p>
        </w:tc>
        <w:tc>
          <w:tcPr>
            <w:tcW w:w="180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tcPr>
          <w:p w14:paraId="04C1595B">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服务级别C</w:t>
            </w:r>
          </w:p>
        </w:tc>
      </w:tr>
      <w:tr w14:paraId="4CEFB3CF">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175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5B4350E1">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一级故障</w:t>
            </w:r>
          </w:p>
        </w:tc>
        <w:tc>
          <w:tcPr>
            <w:tcW w:w="180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42E48516">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小于30分钟</w:t>
            </w:r>
          </w:p>
        </w:tc>
        <w:tc>
          <w:tcPr>
            <w:tcW w:w="180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7FA36B1E">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小于30分钟</w:t>
            </w:r>
          </w:p>
        </w:tc>
        <w:tc>
          <w:tcPr>
            <w:tcW w:w="180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2C9C04BB">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小于30分钟</w:t>
            </w:r>
          </w:p>
        </w:tc>
      </w:tr>
      <w:tr w14:paraId="17FB4896">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175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39C1346F">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二级故障</w:t>
            </w:r>
          </w:p>
        </w:tc>
        <w:tc>
          <w:tcPr>
            <w:tcW w:w="180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41FA57EB">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小于30分钟</w:t>
            </w:r>
          </w:p>
        </w:tc>
        <w:tc>
          <w:tcPr>
            <w:tcW w:w="180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4D79681B">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小于2小时</w:t>
            </w:r>
          </w:p>
        </w:tc>
        <w:tc>
          <w:tcPr>
            <w:tcW w:w="180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139BE7D5">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小于2小时</w:t>
            </w:r>
          </w:p>
        </w:tc>
      </w:tr>
      <w:tr w14:paraId="037BBE99">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175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5945332A">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三级故障</w:t>
            </w:r>
          </w:p>
        </w:tc>
        <w:tc>
          <w:tcPr>
            <w:tcW w:w="180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53F4D3E2">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小于2小时</w:t>
            </w:r>
          </w:p>
        </w:tc>
        <w:tc>
          <w:tcPr>
            <w:tcW w:w="180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6D65B067">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小于2小时</w:t>
            </w:r>
          </w:p>
        </w:tc>
        <w:tc>
          <w:tcPr>
            <w:tcW w:w="180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5C8B07F4">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小于2小时</w:t>
            </w:r>
          </w:p>
        </w:tc>
      </w:tr>
    </w:tbl>
    <w:p w14:paraId="7C15321C">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b/>
          <w:bCs/>
          <w:kern w:val="0"/>
          <w:sz w:val="24"/>
          <w:szCs w:val="24"/>
        </w:rPr>
        <w:t>5）现场服务</w:t>
      </w:r>
    </w:p>
    <w:p w14:paraId="59B39D49">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对于通过电话支持和远程支持都不能解决的设备故障，中标人应迅速提供现场支持服务，安排经验丰富的技术支持工程师赴现场分析故障原因，制定故障解决方案，并最终排除故障。</w:t>
      </w:r>
    </w:p>
    <w:p w14:paraId="749A47AC">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要求：</w:t>
      </w:r>
    </w:p>
    <w:p w14:paraId="0732746F">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中标人服务人员在进行现场支持服务前应作好以下准备：</w:t>
      </w:r>
    </w:p>
    <w:p w14:paraId="6EA795B3">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查阅招标人用户档案，了解用户设备运行情况及设备以往所发生过的问题及处理办法；</w:t>
      </w:r>
    </w:p>
    <w:p w14:paraId="7DE09605">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准备技术服务工具、技术服务资料、交通工具、必要的备板备件及软件。</w:t>
      </w:r>
    </w:p>
    <w:p w14:paraId="66896444">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中标人服务人员抵达招标人用户现场，首先提交《技术服务申请》给用户负责人签字确认。</w:t>
      </w:r>
    </w:p>
    <w:p w14:paraId="6FBEABE7">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了解设备运行情况，核实故障现象，并根据故障现象对设备进行故障分析、测试、诊断，并制定业务恢复和故障解决技术方案,中标人须保证优先实施业务恢复，在恢复业务的前提下，再进行彻底的故障修复。技术方案经采购人批准后，由采购人的技术人员具体实施方案；或在采购人允许下，由中标人服务人员进行具体实施。</w:t>
      </w:r>
    </w:p>
    <w:p w14:paraId="69EFE5F6">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如果确定为设备硬件故障，中标人需免费提供设备硬件为招标人进行更换。如果是软件故障，中标人需免费为招标人修复软件故障；如果无法修复，中标人需免费提供重新服务。</w:t>
      </w:r>
    </w:p>
    <w:p w14:paraId="4E867EE8">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中标人服务人员在处理故障时不能影响到设备的正常运行，并应有招标人用户维护人员在场协同处理；在必须进行系统重装或系统启动等较大操作时，须经招标人用户维护主管部门批准方可实施。若因中标人服务人员误操作或擅自行事等主观原因给招标人带来损失的，招标人有权向中标人提出索赔。</w:t>
      </w:r>
    </w:p>
    <w:p w14:paraId="3EF9AC62">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中标人服务人员在处理故障后，要向招标人维护人员解释故障原因和解决方法，以及在日常维护中的预防措施。</w:t>
      </w:r>
    </w:p>
    <w:p w14:paraId="36819B67">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中标人服务人员在处理故障时，要认真填写《故障处理报告》，并在离开现场前交招标人客户主管部门存档，同时加入中标人的用户故障处理数据库。</w:t>
      </w:r>
    </w:p>
    <w:p w14:paraId="7922C6C8">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b/>
          <w:bCs/>
          <w:kern w:val="0"/>
          <w:sz w:val="24"/>
          <w:szCs w:val="24"/>
        </w:rPr>
        <w:t>6）对故障恢复和故障解决时限的要求</w:t>
      </w:r>
    </w:p>
    <w:p w14:paraId="5A84F4A4">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对于影响业务的一级故障，在进行故障处理时，中标人应优先考虑业务恢复，然后再彻底解决故障。以下是对故障恢复和修复时限的要求。</w:t>
      </w:r>
    </w:p>
    <w:tbl>
      <w:tblPr>
        <w:tblStyle w:val="9"/>
        <w:tblW w:w="0" w:type="auto"/>
        <w:tblInd w:w="0" w:type="dxa"/>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1980"/>
        <w:gridCol w:w="1800"/>
        <w:gridCol w:w="1980"/>
        <w:gridCol w:w="1800"/>
      </w:tblGrid>
      <w:tr w14:paraId="1AF82BDF">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198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B92EC5C">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故障级别</w:t>
            </w:r>
          </w:p>
        </w:tc>
        <w:tc>
          <w:tcPr>
            <w:tcW w:w="180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4A4E78E">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服务级别A</w:t>
            </w:r>
          </w:p>
        </w:tc>
        <w:tc>
          <w:tcPr>
            <w:tcW w:w="198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FD0C172">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服务级别B</w:t>
            </w:r>
          </w:p>
        </w:tc>
        <w:tc>
          <w:tcPr>
            <w:tcW w:w="180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80851A4">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服务级别C</w:t>
            </w:r>
          </w:p>
        </w:tc>
      </w:tr>
      <w:tr w14:paraId="73DFE67A">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198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C214B37">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一级故障恢复</w:t>
            </w:r>
          </w:p>
        </w:tc>
        <w:tc>
          <w:tcPr>
            <w:tcW w:w="180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66FE908">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小于4小时</w:t>
            </w:r>
          </w:p>
        </w:tc>
        <w:tc>
          <w:tcPr>
            <w:tcW w:w="19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B83DD1B">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小于4小时</w:t>
            </w:r>
          </w:p>
        </w:tc>
        <w:tc>
          <w:tcPr>
            <w:tcW w:w="180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F76B3F3">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小于12小时</w:t>
            </w:r>
          </w:p>
        </w:tc>
      </w:tr>
      <w:tr w14:paraId="0CC39F67">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198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4919FF5">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一级故障解决</w:t>
            </w:r>
          </w:p>
        </w:tc>
        <w:tc>
          <w:tcPr>
            <w:tcW w:w="180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5782642">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小于24小时</w:t>
            </w:r>
          </w:p>
        </w:tc>
        <w:tc>
          <w:tcPr>
            <w:tcW w:w="19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2850E2F">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小于24小时</w:t>
            </w:r>
          </w:p>
        </w:tc>
        <w:tc>
          <w:tcPr>
            <w:tcW w:w="180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6F684EA">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小于24小时</w:t>
            </w:r>
          </w:p>
        </w:tc>
      </w:tr>
      <w:tr w14:paraId="643F91F2">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198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1A0869B">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二级故障解决</w:t>
            </w:r>
          </w:p>
        </w:tc>
        <w:tc>
          <w:tcPr>
            <w:tcW w:w="180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A900597">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小于24小时</w:t>
            </w:r>
          </w:p>
        </w:tc>
        <w:tc>
          <w:tcPr>
            <w:tcW w:w="19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C529868">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小于24小时</w:t>
            </w:r>
          </w:p>
        </w:tc>
        <w:tc>
          <w:tcPr>
            <w:tcW w:w="180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30A2E2B">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小于72小时</w:t>
            </w:r>
          </w:p>
        </w:tc>
      </w:tr>
      <w:tr w14:paraId="3DB691D4">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198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7232352">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三级故障解决</w:t>
            </w:r>
          </w:p>
        </w:tc>
        <w:tc>
          <w:tcPr>
            <w:tcW w:w="180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B4BE596">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小于48小时</w:t>
            </w:r>
          </w:p>
        </w:tc>
        <w:tc>
          <w:tcPr>
            <w:tcW w:w="19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A1F2AE1">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小于48小时</w:t>
            </w:r>
          </w:p>
        </w:tc>
        <w:tc>
          <w:tcPr>
            <w:tcW w:w="180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333D073">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小于72小时</w:t>
            </w:r>
          </w:p>
        </w:tc>
      </w:tr>
    </w:tbl>
    <w:p w14:paraId="0084F95E">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注：</w:t>
      </w:r>
    </w:p>
    <w:p w14:paraId="773A1550">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（1）如中标人已选用最快交通方式，但仍因交通原因造成故障恢复超时限的，在考核时经双方协商可将该次故障的时限适当延长。</w:t>
      </w:r>
    </w:p>
    <w:p w14:paraId="037D2033">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2）对于服务级别为C类的设备，如果中标人技术支持工程师确定为设备硬件故障，则向招标人提供需更换的硬件型号列表。招标人自行购买硬件，中标人负责将招标人提供的硬件进行更换，中标人在招标人提供备件后10个工作日内修复故障。</w:t>
      </w:r>
    </w:p>
    <w:p w14:paraId="063044AE">
      <w:pPr>
        <w:widowControl/>
        <w:spacing w:before="150" w:after="150"/>
        <w:jc w:val="left"/>
        <w:rPr>
          <w:rFonts w:ascii="宋体" w:hAnsi="宋体" w:eastAsia="宋体" w:cs="宋体"/>
          <w:kern w:val="0"/>
          <w:sz w:val="24"/>
          <w:szCs w:val="24"/>
        </w:rPr>
      </w:pPr>
      <w:r>
        <w:rPr>
          <w:rFonts w:hint="eastAsia" w:ascii="宋体" w:hAnsi="宋体" w:eastAsia="宋体" w:cs="宋体"/>
          <w:kern w:val="0"/>
          <w:sz w:val="24"/>
          <w:szCs w:val="24"/>
        </w:rPr>
        <w:t>10.2.2故障响应服务</w:t>
      </w:r>
    </w:p>
    <w:p w14:paraId="0D6F8DD3">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中标人通过电话为招标人提供技术支持，协助招标人解决系统日常运行中的问题。</w:t>
      </w:r>
    </w:p>
    <w:p w14:paraId="474348AF">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中标人应设立7*24小时的技术支持热线，并提供400客服联系方式作为服务热线，保证招标人获得设备日常维护的技术支持，保证招标人关于设备的技术性问题得到及时、有效的解答。</w:t>
      </w:r>
    </w:p>
    <w:p w14:paraId="3481C681">
      <w:pPr>
        <w:widowControl/>
        <w:spacing w:before="150" w:after="150"/>
        <w:jc w:val="left"/>
        <w:rPr>
          <w:rFonts w:ascii="宋体" w:hAnsi="宋体" w:eastAsia="宋体" w:cs="宋体"/>
          <w:kern w:val="0"/>
          <w:sz w:val="24"/>
          <w:szCs w:val="24"/>
        </w:rPr>
      </w:pPr>
      <w:r>
        <w:rPr>
          <w:rFonts w:hint="eastAsia" w:ascii="宋体" w:hAnsi="宋体" w:eastAsia="宋体" w:cs="宋体"/>
          <w:kern w:val="0"/>
          <w:sz w:val="24"/>
          <w:szCs w:val="24"/>
        </w:rPr>
        <w:t>10.2.3日常巡检调优服务</w:t>
      </w:r>
    </w:p>
    <w:p w14:paraId="34222912">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中标人为招标人的设备进行定期的现场检查，及时发现设备运行中出现的隐患，通过系统调整等手段，减少设备发生故障的概率，保证设备稳定、高效运行。</w:t>
      </w:r>
    </w:p>
    <w:p w14:paraId="2648049B">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服务要求如下：</w:t>
      </w:r>
    </w:p>
    <w:p w14:paraId="3721E65C">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（1）中标人每季度提供一次现场巡检服务，对平台进行细致全面监视和检查，检查的内容包括软件、硬件检查，电源、告警及设备运行环境的检查等。</w:t>
      </w:r>
    </w:p>
    <w:p w14:paraId="3BD6A4E7">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2）为保证巡检效果，有效发现并解决IT系统常见的隐性互操作性问题。招标人将建立联合巡检（多厂商共同参加）的制度，招标人须在设备巡检前15个工作日告知中标人，设备巡检过程中招标人工程师全程参与，并且配合中标人技术支持工程师完成此项工作。</w:t>
      </w:r>
    </w:p>
    <w:p w14:paraId="21C60403">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（3）中标人完成现场平台巡检后需配合招标人工程师填写设备巡检记录表。</w:t>
      </w:r>
    </w:p>
    <w:p w14:paraId="58EC7481">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（4）中标人在平台巡检完成后三个工作日内提交平台巡检报告（报告模版由中标人提供），招标人可以根据需要要求中标人增加或修改设备巡检内容。</w:t>
      </w:r>
    </w:p>
    <w:p w14:paraId="18AA7D40">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（5）中标人需为招标人建立平台维修档案，并根据平台运行情况向招标人提供平台升级、改造、更换的建议和方案。在平台巡检过程中中标人可以对招标人工程师进行现场培训。</w:t>
      </w:r>
    </w:p>
    <w:p w14:paraId="67B49D3D">
      <w:pPr>
        <w:widowControl/>
        <w:spacing w:before="150" w:after="150"/>
        <w:jc w:val="left"/>
        <w:rPr>
          <w:rFonts w:ascii="宋体" w:hAnsi="宋体" w:eastAsia="宋体" w:cs="宋体"/>
          <w:kern w:val="0"/>
          <w:sz w:val="24"/>
          <w:szCs w:val="24"/>
        </w:rPr>
      </w:pPr>
      <w:r>
        <w:rPr>
          <w:rFonts w:hint="eastAsia" w:ascii="宋体" w:hAnsi="宋体" w:eastAsia="宋体" w:cs="宋体"/>
          <w:kern w:val="0"/>
          <w:sz w:val="24"/>
          <w:szCs w:val="24"/>
        </w:rPr>
        <w:t>10.2.4日常运营分析服务</w:t>
      </w:r>
    </w:p>
    <w:p w14:paraId="686A7BAE">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b/>
          <w:bCs/>
          <w:kern w:val="0"/>
          <w:sz w:val="24"/>
          <w:szCs w:val="24"/>
        </w:rPr>
        <w:t>1）服务描述</w:t>
      </w:r>
    </w:p>
    <w:p w14:paraId="357F0409">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中标人在平台在生产环境日常运行过程中，需要定期输出相应的运营分析报告，分析总结当前平台的运行情况、负载情况、关键事项跟踪等，包括运营周报和月报。运营分析报告中，需要对各推进事项进行闭环管理，做到有始有终。</w:t>
      </w:r>
    </w:p>
    <w:p w14:paraId="0B50AFA2">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b/>
          <w:bCs/>
          <w:kern w:val="0"/>
          <w:sz w:val="24"/>
          <w:szCs w:val="24"/>
        </w:rPr>
        <w:t>2）服务要求</w:t>
      </w:r>
    </w:p>
    <w:p w14:paraId="05A626E6">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运营问题周报：每周输出一份运维周报，包括且不限于以下内容：本周小结、重点关注事项、本周主要工作推进、故障处理进展、本周告警等，及时通过邮件方式发布给相关人员。</w:t>
      </w:r>
    </w:p>
    <w:p w14:paraId="1E694534">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运营分析月会：总结运维团队本月在平台运营的相关工作，并制定相应的改进措施，不断优化提升团队工作能力，包括且不限于以下内容：性能趋势分析（分析性能高峰时组件的运行状况）、告警趋势分析（分析告警数的变化情况，可分别总体、按组件）、重大故障分析（结合故障报告进行分析，经验借鉴分享）、未结束的改进措施跟踪落实、后续改进措施（针对异常项明确改进措施，确定改进时间及责任人）。</w:t>
      </w:r>
    </w:p>
    <w:p w14:paraId="613258FD">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为提高机房整体运维能力，投标人需提供一站式的ICT产品运维服务，丰富运维功能，提供工单系统，便捷记录，月度/季度报告，自动生成，客户档案，轻松查看，通过信息化的手段将运维过程全流程信息同步，同时可减少人员流动带来的资料流失风险。针对运维服务难问题，要求能够实现运维服务过程可回溯，信息安全有保证，提供多途径提单，非现场可使用web平台提交工单，无需现场配合提供设备巡检服务。</w:t>
      </w:r>
    </w:p>
    <w:p w14:paraId="7F008817">
      <w:pPr>
        <w:widowControl/>
        <w:spacing w:before="150" w:after="150"/>
        <w:jc w:val="left"/>
        <w:rPr>
          <w:rFonts w:ascii="宋体" w:hAnsi="宋体" w:eastAsia="宋体" w:cs="宋体"/>
          <w:kern w:val="0"/>
          <w:sz w:val="24"/>
          <w:szCs w:val="24"/>
        </w:rPr>
      </w:pPr>
      <w:r>
        <w:rPr>
          <w:rFonts w:hint="eastAsia" w:ascii="宋体" w:hAnsi="宋体" w:eastAsia="宋体" w:cs="宋体"/>
          <w:kern w:val="0"/>
          <w:sz w:val="24"/>
          <w:szCs w:val="24"/>
        </w:rPr>
        <w:t>10.2.5重要通讯保障服务</w:t>
      </w:r>
    </w:p>
    <w:p w14:paraId="5B7F2A76">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重要通讯保障期间，招标人根据需要向中标人提出重要通讯保障服务请求，中标人收到请求后与招标人共同制定重要通讯保障期间的设备保障方案。</w:t>
      </w:r>
    </w:p>
    <w:p w14:paraId="6AAAF33E">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服务要求如下：</w:t>
      </w:r>
    </w:p>
    <w:p w14:paraId="50E02D35">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重要通讯保障期间包括汛期、重大节假日、国家军事、政治活动期间等。在重点通讯保障期间，如有必要，中标人需指 定技术支持工程师到现场完成通讯保障服务，此服务按照现场服务标准，中标人不再另行收取费用。在签订合同时双方具体商定此类服务的日期和时间。</w:t>
      </w:r>
    </w:p>
    <w:p w14:paraId="0694A439">
      <w:pPr>
        <w:widowControl/>
        <w:spacing w:before="150" w:after="150"/>
        <w:jc w:val="left"/>
        <w:rPr>
          <w:rFonts w:ascii="宋体" w:hAnsi="宋体" w:eastAsia="宋体" w:cs="宋体"/>
          <w:kern w:val="0"/>
          <w:sz w:val="24"/>
          <w:szCs w:val="24"/>
        </w:rPr>
      </w:pPr>
      <w:r>
        <w:rPr>
          <w:rFonts w:hint="eastAsia" w:ascii="宋体" w:hAnsi="宋体" w:eastAsia="宋体" w:cs="宋体"/>
          <w:kern w:val="0"/>
          <w:sz w:val="24"/>
          <w:szCs w:val="24"/>
        </w:rPr>
        <w:t>10.2.6技术资料服务</w:t>
      </w:r>
    </w:p>
    <w:p w14:paraId="6CD6ECBE">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中标人为招标人提供保证设备正常运行的必要技术资料(含技术和商业机密的除外)。</w:t>
      </w:r>
    </w:p>
    <w:p w14:paraId="2B110B3D">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服务包含：中标人为招标人提供有关产品知识、操作手册、设备运行维护经验、技术文档等资料。常用资料应提供纸质文档。</w:t>
      </w:r>
    </w:p>
    <w:p w14:paraId="142F6D7A">
      <w:pPr>
        <w:widowControl/>
        <w:spacing w:before="150" w:after="150"/>
        <w:jc w:val="left"/>
        <w:rPr>
          <w:rFonts w:ascii="宋体" w:hAnsi="宋体" w:eastAsia="宋体" w:cs="宋体"/>
          <w:kern w:val="0"/>
          <w:sz w:val="24"/>
          <w:szCs w:val="24"/>
        </w:rPr>
      </w:pPr>
      <w:r>
        <w:rPr>
          <w:rFonts w:hint="eastAsia" w:ascii="宋体" w:hAnsi="宋体" w:eastAsia="宋体" w:cs="宋体"/>
          <w:kern w:val="0"/>
          <w:sz w:val="24"/>
          <w:szCs w:val="24"/>
        </w:rPr>
        <w:t>10.2.7辅助故障定位服务</w:t>
      </w:r>
    </w:p>
    <w:p w14:paraId="17C1805E">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当故障涉及多方设备，招标人无法进行准确故障定位情况下，中标人需提供技术支持，辅助招标人进行准确的故障定位。</w:t>
      </w:r>
    </w:p>
    <w:p w14:paraId="2A856895">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服务包含：辅助故障定位服务技术支持的手段包括但不限于：电话技术支持服务，远程支持。</w:t>
      </w:r>
    </w:p>
    <w:p w14:paraId="52596424">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 </w:t>
      </w:r>
    </w:p>
    <w:p w14:paraId="1B9428FE">
      <w:pPr>
        <w:widowControl/>
        <w:spacing w:before="150" w:after="150"/>
        <w:ind w:left="105"/>
        <w:jc w:val="left"/>
        <w:rPr>
          <w:rFonts w:ascii="宋体" w:hAnsi="宋体" w:eastAsia="宋体" w:cs="宋体"/>
          <w:kern w:val="0"/>
          <w:sz w:val="24"/>
          <w:szCs w:val="24"/>
        </w:rPr>
      </w:pPr>
      <w:r>
        <w:rPr>
          <w:rFonts w:hint="eastAsia" w:ascii="宋体" w:hAnsi="宋体" w:eastAsia="宋体" w:cs="宋体"/>
          <w:kern w:val="0"/>
          <w:sz w:val="24"/>
          <w:szCs w:val="24"/>
        </w:rPr>
        <w:t>10.3人员团队要求</w:t>
      </w:r>
    </w:p>
    <w:p w14:paraId="3B08610F">
      <w:pPr>
        <w:widowControl/>
        <w:spacing w:before="150" w:after="150"/>
        <w:jc w:val="left"/>
        <w:rPr>
          <w:rFonts w:ascii="宋体" w:hAnsi="宋体" w:eastAsia="宋体" w:cs="宋体"/>
          <w:kern w:val="0"/>
          <w:sz w:val="24"/>
          <w:szCs w:val="24"/>
        </w:rPr>
      </w:pPr>
      <w:r>
        <w:rPr>
          <w:rFonts w:hint="eastAsia" w:ascii="宋体" w:hAnsi="宋体" w:eastAsia="宋体" w:cs="宋体"/>
          <w:kern w:val="0"/>
          <w:sz w:val="24"/>
          <w:szCs w:val="24"/>
        </w:rPr>
        <w:t>10.3.1项目经理</w:t>
      </w:r>
    </w:p>
    <w:p w14:paraId="5FEEDAEF">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投标人应明确提供2名项目经理互为AB角，明确岗位职责、任职资格及管理权限，以确保工程顺利实施。投标人应承诺项目经理自始至终专职承担本项目工作。</w:t>
      </w:r>
    </w:p>
    <w:p w14:paraId="392EE1B2">
      <w:pPr>
        <w:widowControl/>
        <w:spacing w:before="150" w:after="150"/>
        <w:jc w:val="left"/>
        <w:rPr>
          <w:rFonts w:ascii="宋体" w:hAnsi="宋体" w:eastAsia="宋体" w:cs="宋体"/>
          <w:kern w:val="0"/>
          <w:sz w:val="24"/>
          <w:szCs w:val="24"/>
        </w:rPr>
      </w:pPr>
      <w:r>
        <w:rPr>
          <w:rFonts w:hint="eastAsia" w:ascii="宋体" w:hAnsi="宋体" w:eastAsia="宋体" w:cs="宋体"/>
          <w:kern w:val="0"/>
          <w:sz w:val="24"/>
          <w:szCs w:val="24"/>
        </w:rPr>
        <w:t>10.3.2专项组技术负责人</w:t>
      </w:r>
    </w:p>
    <w:p w14:paraId="3A270A20">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投标人应设立平台架构技术专项、数据库专项、网络专项、业务系统分析等专项在本项目中的岗位职责、任职资格及管理权限，以确保工程顺利实施。</w:t>
      </w:r>
    </w:p>
    <w:p w14:paraId="7BE06DAD">
      <w:pPr>
        <w:widowControl/>
        <w:spacing w:before="150" w:after="150"/>
        <w:jc w:val="left"/>
        <w:rPr>
          <w:rFonts w:ascii="宋体" w:hAnsi="宋体" w:eastAsia="宋体" w:cs="宋体"/>
          <w:kern w:val="0"/>
          <w:sz w:val="24"/>
          <w:szCs w:val="24"/>
        </w:rPr>
      </w:pPr>
      <w:r>
        <w:rPr>
          <w:rFonts w:hint="eastAsia" w:ascii="宋体" w:hAnsi="宋体" w:eastAsia="宋体" w:cs="宋体"/>
          <w:kern w:val="0"/>
          <w:sz w:val="24"/>
          <w:szCs w:val="24"/>
        </w:rPr>
        <w:t>10.3.3项目实施团队</w:t>
      </w:r>
    </w:p>
    <w:p w14:paraId="4E2880F1">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投标人需成立合理的组织机构，建立健全保障项目顺利实施的各项管理制度和质量保证体系。投标人应根据上文提出的建设工期详细列出进度计划，并按照工期与工作量的比值测算出人员规模。</w:t>
      </w:r>
    </w:p>
    <w:p w14:paraId="2C8868A6">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投标人列出技术服务团队详细人员计划，包括人员姓名、资质和在本项目中的职责分工，提供上述人员的社保缴纳证明。</w:t>
      </w:r>
    </w:p>
    <w:p w14:paraId="5B646B7D">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投标人需保证相关人员的工作稳 定性，人员离职前需提交会签表给招标人确认，新进人员必须得到招标人的认可。</w:t>
      </w:r>
    </w:p>
    <w:p w14:paraId="2C3C0E97">
      <w:pPr>
        <w:widowControl/>
        <w:spacing w:before="150" w:after="150"/>
        <w:jc w:val="left"/>
        <w:rPr>
          <w:rFonts w:ascii="宋体" w:hAnsi="宋体" w:eastAsia="宋体" w:cs="宋体"/>
          <w:kern w:val="0"/>
          <w:sz w:val="24"/>
          <w:szCs w:val="24"/>
        </w:rPr>
      </w:pPr>
      <w:r>
        <w:rPr>
          <w:rFonts w:hint="eastAsia" w:ascii="宋体" w:hAnsi="宋体" w:eastAsia="宋体" w:cs="宋体"/>
          <w:kern w:val="0"/>
          <w:sz w:val="24"/>
          <w:szCs w:val="24"/>
        </w:rPr>
        <w:t>10.3.4项目维护团队</w:t>
      </w:r>
    </w:p>
    <w:p w14:paraId="637D370D">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投标人需成立合理的组织机构，建立健全保障项目顺利实施的各项管理制度和质量保证体系。</w:t>
      </w:r>
    </w:p>
    <w:p w14:paraId="2D1B7399">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投标人列出技术服务团队详细人员计划，包括人员姓名、资质和在本项目中的职责分工，提供上述人员的社保缴纳证明，同时提供相关人员的资 质证书文件。</w:t>
      </w:r>
    </w:p>
    <w:p w14:paraId="31E79BBB">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投标人需保证相关人员的工作稳 定性，人员离职前需提交会签表给招标人确认，新进人员必须得到招标人的认可。</w:t>
      </w:r>
    </w:p>
    <w:p w14:paraId="7166AC8A">
      <w:pPr>
        <w:widowControl/>
        <w:spacing w:before="150" w:after="150"/>
        <w:jc w:val="left"/>
        <w:rPr>
          <w:rFonts w:ascii="宋体" w:hAnsi="宋体" w:eastAsia="宋体" w:cs="宋体"/>
          <w:kern w:val="0"/>
          <w:sz w:val="24"/>
          <w:szCs w:val="24"/>
        </w:rPr>
      </w:pPr>
      <w:r>
        <w:rPr>
          <w:rFonts w:hint="eastAsia" w:ascii="宋体" w:hAnsi="宋体" w:eastAsia="宋体" w:cs="宋体"/>
          <w:kern w:val="0"/>
          <w:sz w:val="24"/>
          <w:szCs w:val="24"/>
        </w:rPr>
        <w:t>10.3.5分工及职责划分</w:t>
      </w:r>
    </w:p>
    <w:p w14:paraId="518146FB">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投标人基于系统集成服务的理解，结合工程计划进度安排，针对整个工程的全过程（包括建设、初验、终验、质保等各阶段），制定详细的投标人团队人员分工。</w:t>
      </w:r>
    </w:p>
    <w:p w14:paraId="161EFCBF">
      <w:pPr>
        <w:widowControl/>
        <w:spacing w:before="150" w:after="150"/>
        <w:jc w:val="left"/>
        <w:rPr>
          <w:rFonts w:ascii="宋体" w:hAnsi="宋体" w:eastAsia="宋体" w:cs="宋体"/>
          <w:kern w:val="0"/>
          <w:sz w:val="24"/>
          <w:szCs w:val="24"/>
        </w:rPr>
      </w:pPr>
      <w:r>
        <w:rPr>
          <w:rFonts w:hint="eastAsia" w:ascii="宋体" w:hAnsi="宋体" w:eastAsia="宋体" w:cs="宋体"/>
          <w:kern w:val="0"/>
          <w:sz w:val="24"/>
          <w:szCs w:val="24"/>
        </w:rPr>
        <w:t>10.4验收时间要求</w:t>
      </w:r>
    </w:p>
    <w:p w14:paraId="0455D903">
      <w:pPr>
        <w:widowControl/>
        <w:spacing w:before="150" w:after="150"/>
        <w:jc w:val="left"/>
        <w:rPr>
          <w:rFonts w:ascii="宋体" w:hAnsi="宋体" w:eastAsia="宋体" w:cs="宋体"/>
          <w:kern w:val="0"/>
          <w:sz w:val="24"/>
          <w:szCs w:val="24"/>
        </w:rPr>
      </w:pPr>
      <w:r>
        <w:rPr>
          <w:rFonts w:hint="eastAsia" w:ascii="宋体" w:hAnsi="宋体" w:eastAsia="宋体" w:cs="宋体"/>
          <w:kern w:val="0"/>
          <w:sz w:val="24"/>
          <w:szCs w:val="24"/>
        </w:rPr>
        <w:t>10.4.1建设期</w:t>
      </w:r>
    </w:p>
    <w:p w14:paraId="12C7F4D1">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b/>
          <w:bCs/>
          <w:kern w:val="0"/>
          <w:sz w:val="24"/>
          <w:szCs w:val="24"/>
        </w:rPr>
        <w:t>1）建设期要求</w:t>
      </w:r>
    </w:p>
    <w:p w14:paraId="57FC0507">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（1）设备运抵现场后，招标人将与中标人、监理单位、设备供货商代表共同开箱验收，如设备供货商届时无代表参加，则验收结果应以招标人、中标人和监理单位的验收结果为最终验收结果。</w:t>
      </w:r>
    </w:p>
    <w:p w14:paraId="29E15109">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（2)投标人应根据本技术规范书中的各项要求，在了解项目需求和建设内容的基础上，在技术建议书中提出详细的建设方案建议，中 标后与招标人密切沟通优化完善方案，并按照经招标人批准的方案完成系统部署及调测。</w:t>
      </w:r>
    </w:p>
    <w:p w14:paraId="3F1DE5D6">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（3）投标人负责本期工程的总体项目管理、集成方案设 计及系统集成实施工作，根据招标人的建设规模，完成本项目的网络、计算资源、存储资源、专业维护工具等全部软硬件环境集成方案设 计及部署实施工作；对由其他供 应商完成的具体专业工作，做好整体项目实施协调，整体集成和施工进度满足项目需要。</w:t>
      </w:r>
    </w:p>
    <w:p w14:paraId="46587FDA">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（4）投标人提供的扩容资源池构建方案需满足高容量、快速、高效、可靠、安全、可配置管的总体要求。</w:t>
      </w:r>
    </w:p>
    <w:p w14:paraId="7C7281FD">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（5) 投标人负责项目实施，根据招标人的建设要求，提出完整的项目管理、系统设 计、工程培训、项目施工、项目验收、技术支持方案以及投标人人力资源方案，征得招标人批准后组织及完成实施，根据本期工程建设总体要求制定本项目的运行测试方案，并配合招标人完成工程各项测试、验收工作。</w:t>
      </w:r>
    </w:p>
    <w:p w14:paraId="21D0B264">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（6）投标人负责建立并向招标人提交工程技术文档，负责本期工程技术文档的统一管理，协调其他供 应商完成相关方案设 计等管理和技术文档的建立、整理和审核工作，确保和生产环境一致，并根据需要及时移交给招标人。</w:t>
      </w:r>
    </w:p>
    <w:p w14:paraId="3DE41CC5">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（7）投标人应提供专业的现场服务支持工作，确保项目实施期间以及保修期内能够及时响应招标人需要。</w:t>
      </w:r>
    </w:p>
    <w:p w14:paraId="06BBC867">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b/>
          <w:bCs/>
          <w:kern w:val="0"/>
          <w:sz w:val="24"/>
          <w:szCs w:val="24"/>
        </w:rPr>
        <w:t>2）安装调试要求</w:t>
      </w:r>
    </w:p>
    <w:p w14:paraId="4CAD03A6">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（1）中标人应负责完成本工程设备安装及互联所需材料提供及安装布放，并负责进行标记。在线缆布放前应进行线缆测试，并将测试报告提交招标人确认，经招标人确认后方可实施。</w:t>
      </w:r>
    </w:p>
    <w:p w14:paraId="28917056">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（2）调测时使用的工具、设备由中标人提供，通用工具由招标人协助解决；双方应协商制定工程进度表，中标人负责按工程进度表进行施工配合；</w:t>
      </w:r>
    </w:p>
    <w:p w14:paraId="50FC2BCB">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（3）中标人负责对施工地点进行现场勘察，提供工程施工和相关安装资料，并负责指导招标人人员掌握和使用这些技术资料。</w:t>
      </w:r>
    </w:p>
    <w:p w14:paraId="11F3BF6D">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4）资源池的联调测试方案由中标人负责制定，中标人在调试前应提出完整的调试计划并经招标人确认，包括设备调试的内容、项目、指标、方法和进度，并提供相应的仪器和工具。中标人有责任对招标人的技术人员提出的问题作出解答。调试应由中标人进行详细记录，系统调试结束后，由中标人技术人员签字后交给招标人验收；</w:t>
      </w:r>
    </w:p>
    <w:p w14:paraId="4A471D16">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5）中标人需配合招标人完成与资源池相关系统的联调测试工作，调试前应提出完整的调试计划并经招标人确认，包括设备调试的内容、项目、指标、方法和进度，并提供相应的仪器和工具。中标人有责任对招标人的技术人员提出的问题作出解答。调试应进行详细记录，系统调试结束后，由中标人技术人员签字后交给招标人验收；</w:t>
      </w:r>
    </w:p>
    <w:p w14:paraId="5FA8CDF1">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（6）中标人应保证在合同规定的时间内完成设备安装、调试。</w:t>
      </w:r>
    </w:p>
    <w:p w14:paraId="4AF02573">
      <w:pPr>
        <w:widowControl/>
        <w:spacing w:before="150" w:after="150"/>
        <w:jc w:val="left"/>
        <w:rPr>
          <w:rFonts w:ascii="宋体" w:hAnsi="宋体" w:eastAsia="宋体" w:cs="宋体"/>
          <w:kern w:val="0"/>
          <w:sz w:val="24"/>
          <w:szCs w:val="24"/>
        </w:rPr>
      </w:pPr>
      <w:r>
        <w:rPr>
          <w:rFonts w:hint="eastAsia" w:ascii="宋体" w:hAnsi="宋体" w:eastAsia="宋体" w:cs="宋体"/>
          <w:kern w:val="0"/>
          <w:sz w:val="24"/>
          <w:szCs w:val="24"/>
        </w:rPr>
        <w:t>10.4.2初验期</w:t>
      </w:r>
    </w:p>
    <w:p w14:paraId="6C36504D">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设备上架加电、系统调试、网络联调、平台等达到招标人的要求及国家局验收条件后，可进行验收测试（初验）。验收规范应由投标人在验收前一周提交给招标人，招标人可根据合同及技术规范书和招标人的有关规定进行修改和补充。验收规范经双方确认后形成验收文件作为验收依据。验收测试合格后，双方签署验收协议，系统入网开通试运行。</w:t>
      </w:r>
    </w:p>
    <w:p w14:paraId="7DD49C55">
      <w:pPr>
        <w:widowControl/>
        <w:spacing w:before="150" w:after="150"/>
        <w:jc w:val="left"/>
        <w:rPr>
          <w:rFonts w:ascii="宋体" w:hAnsi="宋体" w:eastAsia="宋体" w:cs="宋体"/>
          <w:kern w:val="0"/>
          <w:sz w:val="24"/>
          <w:szCs w:val="24"/>
        </w:rPr>
      </w:pPr>
      <w:r>
        <w:rPr>
          <w:rFonts w:hint="eastAsia" w:ascii="宋体" w:hAnsi="宋体" w:eastAsia="宋体" w:cs="宋体"/>
          <w:kern w:val="0"/>
          <w:sz w:val="24"/>
          <w:szCs w:val="24"/>
        </w:rPr>
        <w:t>10.4.3终验期</w:t>
      </w:r>
    </w:p>
    <w:p w14:paraId="1B95EFEE">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初验期验收后，经过试运行，经招标人、总集成方、监理方及咨询专家确认，本采购项目所有性能指标基本满足《福建省 级医疗保障信息平台可行性研究暨初步设 计方案》及国家局相关技术标准要求由招标人组织进行终验。中标方按照货物清单数量及配置要求，并完成所有货物到货验收、配置，并通过功能测试、调试，出具测试报告并满足性能指标要求，中标方所提供产品的各类资源及服务状态实时数据展示功能，提供本次项目要求所有服务埋点监测功能，为运维提供数据支撑，包括对用户行为事件进行捕获、处理和展现等，提供业务演示和盖章确认的测试报告，测试报告需通过省医保局书面确认。</w:t>
      </w:r>
    </w:p>
    <w:p w14:paraId="7499D615">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国家局验收：2022年10月31日前，按照国家局技术标准和规定的时间要求完成验收，每延迟1天扣除合同款0.05%。(因招标人原因或不可抗力因素造成推延的原因除外)</w:t>
      </w:r>
    </w:p>
    <w:p w14:paraId="4D3B6EB6">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省数办验收:2022年12月31日前，福建省 级医疗保障信息平台通过省数办验收，每延迟1天扣除合同款0.05%。(因招标人原因或不可抗力因素造成推延的原因除外)</w:t>
      </w:r>
    </w:p>
    <w:p w14:paraId="3298EAC0">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在试运行期间，由于设备质量等造成某些指标达不到要求，允许设备厂商负责更换或进行修复，在全部达到要求时，双方签署最终验收文件。</w:t>
      </w:r>
    </w:p>
    <w:p w14:paraId="4A80372A">
      <w:pPr>
        <w:widowControl/>
        <w:spacing w:before="150" w:after="150"/>
        <w:jc w:val="left"/>
        <w:rPr>
          <w:rFonts w:ascii="宋体" w:hAnsi="宋体" w:eastAsia="宋体" w:cs="宋体"/>
          <w:kern w:val="0"/>
          <w:sz w:val="24"/>
          <w:szCs w:val="24"/>
        </w:rPr>
      </w:pPr>
      <w:r>
        <w:rPr>
          <w:rFonts w:hint="eastAsia" w:ascii="宋体" w:hAnsi="宋体" w:eastAsia="宋体" w:cs="宋体"/>
          <w:kern w:val="0"/>
          <w:sz w:val="24"/>
          <w:szCs w:val="24"/>
        </w:rPr>
        <w:t>10.4.4质保期</w:t>
      </w:r>
    </w:p>
    <w:p w14:paraId="6CFAB869">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1) 本项目软硬件保修期截止至2025年12月31日。在保修期内，如果系统发生故障，中标人要调查故障原因并修复直至满足最终验收指标和性能的要求。</w:t>
      </w:r>
    </w:p>
    <w:p w14:paraId="6302EA79">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2) 在保修期内系统维护、软件升级、硬件变动所发生的服务费应由中标人承担。中标人应给出保修期结束之后服务支持方式和费用。</w:t>
      </w:r>
    </w:p>
    <w:p w14:paraId="0DFF0F54">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3) 中标人必须在服务期内免费为本包中的所有硬件设备及相关软硬件产品提供技术支持和服务。中标人对本项目涉及的安全、稳定、可靠、高效地运行以及质保期内维护保修服务负总责，并提供项目的总体协调和管理，以及优质的本地化售后支持和保障服务。</w:t>
      </w:r>
    </w:p>
    <w:p w14:paraId="5752CF2C">
      <w:pPr>
        <w:widowControl/>
        <w:spacing w:after="150"/>
        <w:jc w:val="left"/>
        <w:rPr>
          <w:rFonts w:ascii="宋体" w:hAnsi="宋体" w:eastAsia="宋体" w:cs="宋体"/>
          <w:kern w:val="0"/>
          <w:sz w:val="24"/>
          <w:szCs w:val="24"/>
        </w:rPr>
      </w:pPr>
      <w:r>
        <w:rPr>
          <w:rFonts w:hint="eastAsia" w:ascii="宋体" w:hAnsi="宋体" w:eastAsia="宋体" w:cs="宋体"/>
          <w:kern w:val="0"/>
          <w:sz w:val="24"/>
          <w:szCs w:val="24"/>
        </w:rPr>
        <w:t>4) 中标人应建立一定规模的由专业技术支持人员组成的运维组，能够提供专人化的系统支持服务，能提供系统安装配置服务，提供保证数据完整性、一致性及系统的高可用性的设 计、规划、调优、评估和系统运行指导服务。能提供服务响应时间升级，电话支持，软、硬件升级，软件介质及文档，网络支持等多项支持服务。</w:t>
      </w:r>
    </w:p>
    <w:p w14:paraId="1FDB57D9">
      <w:pPr>
        <w:widowControl/>
        <w:spacing w:after="150"/>
        <w:jc w:val="left"/>
        <w:rPr>
          <w:rFonts w:ascii="宋体" w:hAnsi="宋体" w:eastAsia="宋体" w:cs="宋体"/>
          <w:kern w:val="0"/>
          <w:sz w:val="24"/>
          <w:szCs w:val="24"/>
        </w:rPr>
      </w:pPr>
    </w:p>
    <w:p w14:paraId="43C6A956">
      <w:pPr>
        <w:widowControl/>
        <w:jc w:val="left"/>
        <w:rPr>
          <w:rFonts w:ascii="宋体" w:hAnsi="宋体" w:eastAsia="宋体" w:cs="宋体"/>
          <w:kern w:val="0"/>
          <w:sz w:val="24"/>
          <w:szCs w:val="24"/>
        </w:rPr>
      </w:pPr>
      <w:r>
        <w:rPr>
          <w:rFonts w:ascii="宋体" w:hAnsi="宋体" w:eastAsia="宋体" w:cs="宋体"/>
          <w:kern w:val="0"/>
          <w:sz w:val="24"/>
          <w:szCs w:val="24"/>
        </w:rPr>
        <w:t> </w:t>
      </w:r>
    </w:p>
    <w:p w14:paraId="7B927662">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四、其他事项</w:t>
      </w:r>
    </w:p>
    <w:p w14:paraId="60C0ECBA">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1、除招标文件另有规定外，若出现有关法律、法规和规章有强制性规定但招标文件未列明的情形，则投标人应按照有关法律、法规和规章强制性规定执行。</w:t>
      </w:r>
    </w:p>
    <w:p w14:paraId="2B0E6BB6">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2、其他：</w:t>
      </w:r>
    </w:p>
    <w:p w14:paraId="618A05E9">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14:paraId="69A7333E">
      <w:pPr>
        <w:widowControl/>
        <w:jc w:val="left"/>
        <w:rPr>
          <w:rFonts w:ascii="宋体" w:hAnsi="宋体" w:eastAsia="宋体" w:cs="宋体"/>
          <w:b/>
          <w:bCs/>
          <w:kern w:val="0"/>
          <w:sz w:val="32"/>
          <w:szCs w:val="32"/>
        </w:rPr>
      </w:pPr>
      <w:r>
        <w:rPr>
          <w:rFonts w:ascii="宋体" w:hAnsi="宋体" w:eastAsia="宋体" w:cs="宋体"/>
          <w:b/>
          <w:bCs/>
          <w:kern w:val="0"/>
          <w:sz w:val="32"/>
          <w:szCs w:val="32"/>
        </w:rPr>
        <w:br w:type="page"/>
      </w:r>
    </w:p>
    <w:p w14:paraId="218C509D">
      <w:pPr>
        <w:widowControl/>
        <w:spacing w:before="75" w:after="75"/>
        <w:jc w:val="center"/>
        <w:rPr>
          <w:rFonts w:ascii="宋体" w:hAnsi="宋体" w:eastAsia="宋体" w:cs="宋体"/>
          <w:kern w:val="0"/>
          <w:sz w:val="24"/>
          <w:szCs w:val="24"/>
        </w:rPr>
      </w:pPr>
      <w:r>
        <w:rPr>
          <w:rFonts w:hint="eastAsia" w:ascii="宋体" w:hAnsi="宋体" w:eastAsia="宋体" w:cs="宋体"/>
          <w:b/>
          <w:bCs/>
          <w:kern w:val="0"/>
          <w:sz w:val="32"/>
          <w:szCs w:val="32"/>
        </w:rPr>
        <w:t>第六章   政府采购合同（参考文本）</w:t>
      </w:r>
    </w:p>
    <w:p w14:paraId="244D84C4">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 </w:t>
      </w:r>
    </w:p>
    <w:p w14:paraId="00D759FF">
      <w:pPr>
        <w:widowControl/>
        <w:spacing w:before="75" w:after="75"/>
        <w:jc w:val="center"/>
        <w:rPr>
          <w:rFonts w:ascii="宋体" w:hAnsi="宋体" w:eastAsia="宋体" w:cs="宋体"/>
          <w:kern w:val="0"/>
          <w:sz w:val="24"/>
          <w:szCs w:val="24"/>
        </w:rPr>
      </w:pPr>
      <w:r>
        <w:rPr>
          <w:rFonts w:hint="eastAsia" w:ascii="宋体" w:hAnsi="宋体" w:eastAsia="宋体" w:cs="宋体"/>
          <w:b/>
          <w:bCs/>
          <w:kern w:val="0"/>
          <w:sz w:val="24"/>
          <w:szCs w:val="24"/>
        </w:rPr>
        <w:t>编制说明</w:t>
      </w:r>
    </w:p>
    <w:p w14:paraId="43B01F81">
      <w:pPr>
        <w:widowControl/>
        <w:spacing w:before="75" w:after="75"/>
        <w:jc w:val="left"/>
        <w:rPr>
          <w:rFonts w:ascii="宋体" w:hAnsi="宋体" w:eastAsia="宋体" w:cs="宋体"/>
          <w:kern w:val="0"/>
          <w:sz w:val="24"/>
          <w:szCs w:val="24"/>
        </w:rPr>
      </w:pPr>
      <w:r>
        <w:rPr>
          <w:rFonts w:hint="eastAsia" w:ascii="宋体" w:hAnsi="宋体" w:eastAsia="宋体" w:cs="宋体"/>
          <w:b/>
          <w:bCs/>
          <w:kern w:val="0"/>
          <w:sz w:val="24"/>
          <w:szCs w:val="24"/>
        </w:rPr>
        <w:t>1、签订合同应遵守政府采购法、</w:t>
      </w:r>
      <w:r>
        <w:rPr>
          <w:rFonts w:hint="eastAsia" w:ascii="宋体" w:hAnsi="宋体" w:eastAsia="宋体" w:cs="宋体"/>
          <w:b/>
          <w:bCs/>
          <w:color w:val="000000"/>
          <w:kern w:val="0"/>
          <w:sz w:val="24"/>
          <w:szCs w:val="24"/>
        </w:rPr>
        <w:t>民</w:t>
      </w:r>
      <w:r>
        <w:rPr>
          <w:rFonts w:hint="eastAsia" w:ascii="宋体" w:hAnsi="宋体" w:eastAsia="宋体" w:cs="宋体"/>
          <w:b/>
          <w:bCs/>
          <w:kern w:val="0"/>
          <w:sz w:val="24"/>
          <w:szCs w:val="24"/>
        </w:rPr>
        <w:t>法典。</w:t>
      </w:r>
    </w:p>
    <w:p w14:paraId="41213C22">
      <w:pPr>
        <w:widowControl/>
        <w:spacing w:before="75" w:after="75"/>
        <w:jc w:val="left"/>
        <w:rPr>
          <w:rFonts w:ascii="宋体" w:hAnsi="宋体" w:eastAsia="宋体" w:cs="宋体"/>
          <w:kern w:val="0"/>
          <w:sz w:val="24"/>
          <w:szCs w:val="24"/>
        </w:rPr>
      </w:pPr>
      <w:r>
        <w:rPr>
          <w:rFonts w:hint="eastAsia" w:ascii="宋体" w:hAnsi="宋体" w:eastAsia="宋体" w:cs="宋体"/>
          <w:b/>
          <w:bCs/>
          <w:kern w:val="0"/>
          <w:sz w:val="24"/>
          <w:szCs w:val="24"/>
        </w:rPr>
        <w:t>2、签订合同时，采购人与中标人应结合招标文件第五章规定填列相应内容。招标文件第五章已有规定的，双方均不得变更或调整；招标文件第五章未作规定的，双方可通过友好协商进行约定。</w:t>
      </w:r>
    </w:p>
    <w:p w14:paraId="1385B811">
      <w:pPr>
        <w:widowControl/>
        <w:spacing w:before="75" w:after="75"/>
        <w:jc w:val="left"/>
        <w:rPr>
          <w:rFonts w:ascii="宋体" w:hAnsi="宋体" w:eastAsia="宋体" w:cs="宋体"/>
          <w:kern w:val="0"/>
          <w:sz w:val="24"/>
          <w:szCs w:val="24"/>
        </w:rPr>
      </w:pPr>
      <w:r>
        <w:rPr>
          <w:rFonts w:hint="eastAsia" w:ascii="宋体" w:hAnsi="宋体" w:eastAsia="宋体" w:cs="宋体"/>
          <w:b/>
          <w:bCs/>
          <w:kern w:val="0"/>
          <w:sz w:val="24"/>
          <w:szCs w:val="24"/>
        </w:rPr>
        <w:t>3、国家有关部门对若干合同有规范文本的，可使用相应合同文本。</w:t>
      </w:r>
      <w:r>
        <w:rPr>
          <w:rFonts w:hint="eastAsia" w:ascii="宋体" w:hAnsi="宋体" w:eastAsia="宋体" w:cs="宋体"/>
          <w:b/>
          <w:bCs/>
          <w:kern w:val="0"/>
          <w:sz w:val="24"/>
          <w:szCs w:val="24"/>
        </w:rPr>
        <w:br w:type="textWrapping"/>
      </w:r>
      <w:r>
        <w:rPr>
          <w:rFonts w:hint="eastAsia" w:ascii="宋体" w:hAnsi="宋体" w:eastAsia="宋体" w:cs="宋体"/>
          <w:b/>
          <w:bCs/>
          <w:kern w:val="0"/>
          <w:sz w:val="24"/>
          <w:szCs w:val="24"/>
        </w:rPr>
        <w:br w:type="textWrapping"/>
      </w:r>
    </w:p>
    <w:p w14:paraId="6DB89168">
      <w:pPr>
        <w:widowControl/>
        <w:spacing w:before="75" w:after="75"/>
        <w:jc w:val="left"/>
        <w:rPr>
          <w:rFonts w:ascii="宋体" w:hAnsi="宋体" w:eastAsia="宋体" w:cs="宋体"/>
          <w:kern w:val="0"/>
          <w:sz w:val="24"/>
          <w:szCs w:val="24"/>
        </w:rPr>
      </w:pPr>
      <w:r>
        <w:rPr>
          <w:rFonts w:hint="eastAsia" w:ascii="宋体" w:hAnsi="宋体" w:eastAsia="宋体" w:cs="宋体"/>
          <w:b/>
          <w:bCs/>
          <w:kern w:val="0"/>
          <w:sz w:val="24"/>
          <w:szCs w:val="24"/>
        </w:rPr>
        <w:t>甲方：</w:t>
      </w:r>
      <w:r>
        <w:rPr>
          <w:rFonts w:hint="eastAsia" w:ascii="宋体" w:hAnsi="宋体" w:eastAsia="宋体" w:cs="宋体"/>
          <w:b/>
          <w:bCs/>
          <w:kern w:val="0"/>
          <w:sz w:val="24"/>
          <w:szCs w:val="24"/>
          <w:u w:val="single"/>
        </w:rPr>
        <w:t>福建省医疗保障局</w:t>
      </w:r>
    </w:p>
    <w:p w14:paraId="732B4D73">
      <w:pPr>
        <w:widowControl/>
        <w:spacing w:before="75" w:after="75"/>
        <w:jc w:val="left"/>
        <w:rPr>
          <w:rFonts w:ascii="宋体" w:hAnsi="宋体" w:eastAsia="宋体" w:cs="宋体"/>
          <w:b/>
          <w:bCs/>
          <w:kern w:val="0"/>
          <w:sz w:val="24"/>
          <w:szCs w:val="24"/>
        </w:rPr>
      </w:pPr>
      <w:r>
        <w:rPr>
          <w:rFonts w:hint="eastAsia" w:ascii="宋体" w:hAnsi="宋体" w:eastAsia="宋体" w:cs="宋体"/>
          <w:b/>
          <w:bCs/>
          <w:kern w:val="0"/>
          <w:sz w:val="24"/>
          <w:szCs w:val="24"/>
        </w:rPr>
        <w:t>乙方：</w:t>
      </w:r>
    </w:p>
    <w:p w14:paraId="2F8B3103">
      <w:pPr>
        <w:widowControl/>
        <w:spacing w:before="75" w:after="75"/>
        <w:jc w:val="left"/>
        <w:rPr>
          <w:rFonts w:ascii="宋体" w:hAnsi="宋体" w:eastAsia="宋体" w:cs="宋体"/>
          <w:b/>
          <w:bCs/>
          <w:kern w:val="0"/>
          <w:sz w:val="24"/>
          <w:szCs w:val="24"/>
        </w:rPr>
      </w:pPr>
      <w:r>
        <w:rPr>
          <w:rFonts w:hint="eastAsia" w:ascii="宋体" w:hAnsi="宋体" w:eastAsia="宋体" w:cs="宋体"/>
          <w:b/>
          <w:bCs/>
          <w:kern w:val="0"/>
          <w:sz w:val="24"/>
          <w:szCs w:val="24"/>
        </w:rPr>
        <w:t> </w:t>
      </w:r>
    </w:p>
    <w:p w14:paraId="12F5D430">
      <w:pPr>
        <w:widowControl/>
        <w:spacing w:before="75" w:after="75"/>
        <w:ind w:firstLine="480"/>
        <w:jc w:val="left"/>
        <w:rPr>
          <w:rFonts w:ascii="宋体" w:hAnsi="宋体" w:eastAsia="宋体" w:cs="宋体"/>
          <w:b/>
          <w:bCs/>
          <w:kern w:val="0"/>
          <w:sz w:val="24"/>
          <w:szCs w:val="24"/>
        </w:rPr>
      </w:pPr>
      <w:r>
        <w:rPr>
          <w:rFonts w:hint="eastAsia" w:ascii="宋体" w:hAnsi="宋体" w:eastAsia="宋体" w:cs="宋体"/>
          <w:b/>
          <w:bCs/>
          <w:kern w:val="0"/>
          <w:sz w:val="24"/>
          <w:szCs w:val="24"/>
        </w:rPr>
        <w:t>根据项目编号为</w:t>
      </w:r>
      <w:r>
        <w:rPr>
          <w:rFonts w:hint="eastAsia" w:ascii="宋体" w:hAnsi="宋体" w:eastAsia="宋体" w:cs="宋体"/>
          <w:b/>
          <w:bCs/>
          <w:kern w:val="0"/>
          <w:sz w:val="24"/>
          <w:szCs w:val="24"/>
          <w:u w:val="single"/>
        </w:rPr>
        <w:t>[3500]SHGS[GK]2022009</w:t>
      </w:r>
      <w:r>
        <w:rPr>
          <w:rFonts w:hint="eastAsia" w:ascii="宋体" w:hAnsi="宋体" w:eastAsia="宋体" w:cs="宋体"/>
          <w:b/>
          <w:bCs/>
          <w:kern w:val="0"/>
          <w:sz w:val="24"/>
          <w:szCs w:val="24"/>
        </w:rPr>
        <w:t>的</w:t>
      </w:r>
      <w:r>
        <w:rPr>
          <w:rFonts w:hint="eastAsia" w:ascii="宋体" w:hAnsi="宋体" w:eastAsia="宋体" w:cs="宋体"/>
          <w:b/>
          <w:bCs/>
          <w:kern w:val="0"/>
          <w:sz w:val="24"/>
          <w:szCs w:val="24"/>
          <w:u w:val="single"/>
        </w:rPr>
        <w:t>福建省级医疗保障信息平台核心区资源扩建项目货物类采购项目</w:t>
      </w:r>
      <w:r>
        <w:rPr>
          <w:rFonts w:hint="eastAsia" w:ascii="宋体" w:hAnsi="宋体" w:eastAsia="宋体" w:cs="宋体"/>
          <w:b/>
          <w:bCs/>
          <w:kern w:val="0"/>
          <w:sz w:val="24"/>
          <w:szCs w:val="24"/>
        </w:rPr>
        <w:t>项目（以下简称：“本项目”）的招标结果，乙方为中标人。现经甲乙双方友好协商，就以下事项达成一致并签订本合同：</w:t>
      </w:r>
    </w:p>
    <w:p w14:paraId="07ABE3A0">
      <w:pPr>
        <w:widowControl/>
        <w:spacing w:before="75" w:after="75"/>
        <w:ind w:firstLine="480"/>
        <w:jc w:val="left"/>
        <w:rPr>
          <w:rFonts w:ascii="宋体" w:hAnsi="宋体" w:eastAsia="宋体" w:cs="宋体"/>
          <w:b/>
          <w:bCs/>
          <w:kern w:val="0"/>
          <w:sz w:val="24"/>
          <w:szCs w:val="24"/>
        </w:rPr>
      </w:pPr>
      <w:r>
        <w:rPr>
          <w:rFonts w:hint="eastAsia" w:ascii="宋体" w:hAnsi="宋体" w:eastAsia="宋体" w:cs="宋体"/>
          <w:b/>
          <w:bCs/>
          <w:kern w:val="0"/>
          <w:sz w:val="24"/>
          <w:szCs w:val="24"/>
        </w:rPr>
        <w:t>1、下列合同文件是构成本合同不可分割的部分：</w:t>
      </w:r>
    </w:p>
    <w:p w14:paraId="0C671B85">
      <w:pPr>
        <w:widowControl/>
        <w:spacing w:before="75" w:after="75"/>
        <w:ind w:firstLine="480"/>
        <w:jc w:val="left"/>
        <w:rPr>
          <w:rFonts w:ascii="宋体" w:hAnsi="宋体" w:eastAsia="宋体" w:cs="宋体"/>
          <w:b/>
          <w:bCs/>
          <w:kern w:val="0"/>
          <w:sz w:val="24"/>
          <w:szCs w:val="24"/>
        </w:rPr>
      </w:pPr>
      <w:r>
        <w:rPr>
          <w:rFonts w:hint="eastAsia" w:ascii="宋体" w:hAnsi="宋体" w:eastAsia="宋体" w:cs="宋体"/>
          <w:b/>
          <w:bCs/>
          <w:kern w:val="0"/>
          <w:sz w:val="24"/>
          <w:szCs w:val="24"/>
        </w:rPr>
        <w:t>1.1合同条款；</w:t>
      </w:r>
    </w:p>
    <w:p w14:paraId="0A155140">
      <w:pPr>
        <w:widowControl/>
        <w:spacing w:before="75" w:after="75"/>
        <w:ind w:firstLine="480"/>
        <w:jc w:val="left"/>
        <w:rPr>
          <w:rFonts w:ascii="宋体" w:hAnsi="宋体" w:eastAsia="宋体" w:cs="宋体"/>
          <w:b/>
          <w:bCs/>
          <w:kern w:val="0"/>
          <w:sz w:val="24"/>
          <w:szCs w:val="24"/>
        </w:rPr>
      </w:pPr>
      <w:r>
        <w:rPr>
          <w:rFonts w:hint="eastAsia" w:ascii="宋体" w:hAnsi="宋体" w:eastAsia="宋体" w:cs="宋体"/>
          <w:b/>
          <w:bCs/>
          <w:kern w:val="0"/>
          <w:sz w:val="24"/>
          <w:szCs w:val="24"/>
        </w:rPr>
        <w:t>1.2招标文件、乙方的投标文件；</w:t>
      </w:r>
    </w:p>
    <w:p w14:paraId="6EE7D83C">
      <w:pPr>
        <w:widowControl/>
        <w:spacing w:before="75" w:after="75"/>
        <w:ind w:firstLine="480"/>
        <w:jc w:val="left"/>
        <w:rPr>
          <w:rFonts w:ascii="宋体" w:hAnsi="宋体" w:eastAsia="宋体" w:cs="宋体"/>
          <w:b/>
          <w:bCs/>
          <w:kern w:val="0"/>
          <w:sz w:val="24"/>
          <w:szCs w:val="24"/>
        </w:rPr>
      </w:pPr>
      <w:r>
        <w:rPr>
          <w:rFonts w:hint="eastAsia" w:ascii="宋体" w:hAnsi="宋体" w:eastAsia="宋体" w:cs="宋体"/>
          <w:b/>
          <w:bCs/>
          <w:kern w:val="0"/>
          <w:sz w:val="24"/>
          <w:szCs w:val="24"/>
        </w:rPr>
        <w:t>1.3其他文件或材料：□无。□</w:t>
      </w:r>
      <w:r>
        <w:rPr>
          <w:rFonts w:hint="eastAsia" w:ascii="宋体" w:hAnsi="宋体" w:eastAsia="宋体" w:cs="宋体"/>
          <w:b/>
          <w:bCs/>
          <w:color w:val="393939"/>
          <w:kern w:val="0"/>
          <w:sz w:val="24"/>
          <w:szCs w:val="24"/>
        </w:rPr>
        <w:t>（若有联合协议或分包意向协议）</w:t>
      </w:r>
      <w:r>
        <w:rPr>
          <w:rFonts w:hint="eastAsia" w:ascii="宋体" w:hAnsi="宋体" w:eastAsia="宋体" w:cs="宋体"/>
          <w:b/>
          <w:bCs/>
          <w:kern w:val="0"/>
          <w:sz w:val="24"/>
          <w:szCs w:val="24"/>
        </w:rPr>
        <w:t>。</w:t>
      </w:r>
    </w:p>
    <w:p w14:paraId="438C0898">
      <w:pPr>
        <w:widowControl/>
        <w:spacing w:before="75" w:after="75"/>
        <w:ind w:firstLine="480"/>
        <w:jc w:val="left"/>
        <w:rPr>
          <w:rFonts w:ascii="宋体" w:hAnsi="宋体" w:eastAsia="宋体" w:cs="宋体"/>
          <w:b/>
          <w:bCs/>
          <w:kern w:val="0"/>
          <w:sz w:val="24"/>
          <w:szCs w:val="24"/>
        </w:rPr>
      </w:pPr>
      <w:r>
        <w:rPr>
          <w:rFonts w:hint="eastAsia" w:ascii="宋体" w:hAnsi="宋体" w:eastAsia="宋体" w:cs="宋体"/>
          <w:b/>
          <w:bCs/>
          <w:kern w:val="0"/>
          <w:sz w:val="24"/>
          <w:szCs w:val="24"/>
        </w:rPr>
        <w:t>2、合同标的</w:t>
      </w:r>
    </w:p>
    <w:p w14:paraId="192C4248">
      <w:pPr>
        <w:widowControl/>
        <w:spacing w:before="75" w:after="75"/>
        <w:ind w:firstLine="480"/>
        <w:jc w:val="left"/>
        <w:rPr>
          <w:rFonts w:ascii="宋体" w:hAnsi="宋体" w:eastAsia="宋体" w:cs="宋体"/>
          <w:b/>
          <w:bCs/>
          <w:kern w:val="0"/>
          <w:sz w:val="24"/>
          <w:szCs w:val="24"/>
        </w:rPr>
      </w:pPr>
      <w:r>
        <w:rPr>
          <w:rFonts w:hint="eastAsia" w:ascii="宋体" w:hAnsi="宋体" w:eastAsia="宋体" w:cs="宋体"/>
          <w:b/>
          <w:bCs/>
          <w:kern w:val="0"/>
          <w:sz w:val="24"/>
          <w:szCs w:val="24"/>
          <w:u w:val="single"/>
        </w:rPr>
        <w:t>（按照实际情况编制填写，可以是表格或文字描述）</w:t>
      </w:r>
      <w:r>
        <w:rPr>
          <w:rFonts w:hint="eastAsia" w:ascii="宋体" w:hAnsi="宋体" w:eastAsia="宋体" w:cs="宋体"/>
          <w:b/>
          <w:bCs/>
          <w:kern w:val="0"/>
          <w:sz w:val="24"/>
          <w:szCs w:val="24"/>
        </w:rPr>
        <w:t>。</w:t>
      </w:r>
    </w:p>
    <w:p w14:paraId="7B06EB47">
      <w:pPr>
        <w:widowControl/>
        <w:spacing w:before="75" w:after="75"/>
        <w:ind w:firstLine="480"/>
        <w:jc w:val="left"/>
        <w:rPr>
          <w:rFonts w:ascii="宋体" w:hAnsi="宋体" w:eastAsia="宋体" w:cs="宋体"/>
          <w:b/>
          <w:bCs/>
          <w:kern w:val="0"/>
          <w:sz w:val="24"/>
          <w:szCs w:val="24"/>
        </w:rPr>
      </w:pPr>
      <w:r>
        <w:rPr>
          <w:rFonts w:hint="eastAsia" w:ascii="宋体" w:hAnsi="宋体" w:eastAsia="宋体" w:cs="宋体"/>
          <w:b/>
          <w:bCs/>
          <w:kern w:val="0"/>
          <w:sz w:val="24"/>
          <w:szCs w:val="24"/>
        </w:rPr>
        <w:t>3、合同总金额</w:t>
      </w:r>
    </w:p>
    <w:p w14:paraId="1215F91B">
      <w:pPr>
        <w:widowControl/>
        <w:spacing w:before="75" w:after="75"/>
        <w:ind w:firstLine="480"/>
        <w:jc w:val="left"/>
        <w:rPr>
          <w:rFonts w:ascii="宋体" w:hAnsi="宋体" w:eastAsia="宋体" w:cs="宋体"/>
          <w:b/>
          <w:bCs/>
          <w:kern w:val="0"/>
          <w:sz w:val="24"/>
          <w:szCs w:val="24"/>
        </w:rPr>
      </w:pPr>
      <w:r>
        <w:rPr>
          <w:rFonts w:hint="eastAsia" w:ascii="宋体" w:hAnsi="宋体" w:eastAsia="宋体" w:cs="宋体"/>
          <w:b/>
          <w:bCs/>
          <w:kern w:val="0"/>
          <w:sz w:val="24"/>
          <w:szCs w:val="24"/>
        </w:rPr>
        <w:t>3.1合同总金额为人民币大写：元（￥）。</w:t>
      </w:r>
    </w:p>
    <w:p w14:paraId="2BB9ABE1">
      <w:pPr>
        <w:widowControl/>
        <w:spacing w:before="75" w:after="75"/>
        <w:ind w:firstLine="480"/>
        <w:jc w:val="left"/>
        <w:rPr>
          <w:rFonts w:ascii="宋体" w:hAnsi="宋体" w:eastAsia="宋体" w:cs="宋体"/>
          <w:b/>
          <w:bCs/>
          <w:kern w:val="0"/>
          <w:sz w:val="24"/>
          <w:szCs w:val="24"/>
        </w:rPr>
      </w:pPr>
      <w:r>
        <w:rPr>
          <w:rFonts w:hint="eastAsia" w:ascii="宋体" w:hAnsi="宋体" w:eastAsia="宋体" w:cs="宋体"/>
          <w:b/>
          <w:bCs/>
          <w:kern w:val="0"/>
          <w:sz w:val="24"/>
          <w:szCs w:val="24"/>
        </w:rPr>
        <w:t>4、合同标的交付时间、地点和条件</w:t>
      </w:r>
    </w:p>
    <w:p w14:paraId="2861B2D1">
      <w:pPr>
        <w:widowControl/>
        <w:spacing w:before="75" w:after="75"/>
        <w:ind w:firstLine="480"/>
        <w:jc w:val="left"/>
        <w:rPr>
          <w:rFonts w:ascii="宋体" w:hAnsi="宋体" w:eastAsia="宋体" w:cs="宋体"/>
          <w:b/>
          <w:bCs/>
          <w:kern w:val="0"/>
          <w:sz w:val="24"/>
          <w:szCs w:val="24"/>
        </w:rPr>
      </w:pPr>
      <w:r>
        <w:rPr>
          <w:rFonts w:hint="eastAsia" w:ascii="宋体" w:hAnsi="宋体" w:eastAsia="宋体" w:cs="宋体"/>
          <w:b/>
          <w:bCs/>
          <w:kern w:val="0"/>
          <w:sz w:val="24"/>
          <w:szCs w:val="24"/>
        </w:rPr>
        <w:t>4.1交付时间：；</w:t>
      </w:r>
    </w:p>
    <w:p w14:paraId="32A374D2">
      <w:pPr>
        <w:widowControl/>
        <w:spacing w:before="75" w:after="75"/>
        <w:ind w:firstLine="480"/>
        <w:jc w:val="left"/>
        <w:rPr>
          <w:rFonts w:ascii="宋体" w:hAnsi="宋体" w:eastAsia="宋体" w:cs="宋体"/>
          <w:b/>
          <w:bCs/>
          <w:kern w:val="0"/>
          <w:sz w:val="24"/>
          <w:szCs w:val="24"/>
        </w:rPr>
      </w:pPr>
      <w:r>
        <w:rPr>
          <w:rFonts w:hint="eastAsia" w:ascii="宋体" w:hAnsi="宋体" w:eastAsia="宋体" w:cs="宋体"/>
          <w:b/>
          <w:bCs/>
          <w:kern w:val="0"/>
          <w:sz w:val="24"/>
          <w:szCs w:val="24"/>
        </w:rPr>
        <w:t>4.2交付地点：；</w:t>
      </w:r>
    </w:p>
    <w:p w14:paraId="3AB5ADFA">
      <w:pPr>
        <w:widowControl/>
        <w:spacing w:before="75" w:after="75"/>
        <w:ind w:firstLine="480"/>
        <w:jc w:val="left"/>
        <w:rPr>
          <w:rFonts w:ascii="宋体" w:hAnsi="宋体" w:eastAsia="宋体" w:cs="宋体"/>
          <w:b/>
          <w:bCs/>
          <w:kern w:val="0"/>
          <w:sz w:val="24"/>
          <w:szCs w:val="24"/>
        </w:rPr>
      </w:pPr>
      <w:r>
        <w:rPr>
          <w:rFonts w:hint="eastAsia" w:ascii="宋体" w:hAnsi="宋体" w:eastAsia="宋体" w:cs="宋体"/>
          <w:b/>
          <w:bCs/>
          <w:kern w:val="0"/>
          <w:sz w:val="24"/>
          <w:szCs w:val="24"/>
        </w:rPr>
        <w:t>4.3交付条件：。</w:t>
      </w:r>
    </w:p>
    <w:p w14:paraId="7A793D2A">
      <w:pPr>
        <w:widowControl/>
        <w:spacing w:before="75" w:after="75"/>
        <w:ind w:firstLine="480"/>
        <w:jc w:val="left"/>
        <w:rPr>
          <w:rFonts w:ascii="宋体" w:hAnsi="宋体" w:eastAsia="宋体" w:cs="宋体"/>
          <w:b/>
          <w:bCs/>
          <w:kern w:val="0"/>
          <w:sz w:val="24"/>
          <w:szCs w:val="24"/>
        </w:rPr>
      </w:pPr>
      <w:r>
        <w:rPr>
          <w:rFonts w:hint="eastAsia" w:ascii="宋体" w:hAnsi="宋体" w:eastAsia="宋体" w:cs="宋体"/>
          <w:b/>
          <w:bCs/>
          <w:kern w:val="0"/>
          <w:sz w:val="24"/>
          <w:szCs w:val="24"/>
        </w:rPr>
        <w:t>5、合同标的应符合招标文件、乙方投标文件的规定或约定，具体如下：</w:t>
      </w:r>
    </w:p>
    <w:p w14:paraId="3F25C88E">
      <w:pPr>
        <w:widowControl/>
        <w:spacing w:before="75" w:after="75"/>
        <w:ind w:firstLine="480"/>
        <w:jc w:val="left"/>
        <w:rPr>
          <w:rFonts w:ascii="宋体" w:hAnsi="宋体" w:eastAsia="宋体" w:cs="宋体"/>
          <w:b/>
          <w:bCs/>
          <w:kern w:val="0"/>
          <w:sz w:val="24"/>
          <w:szCs w:val="24"/>
        </w:rPr>
      </w:pPr>
      <w:r>
        <w:rPr>
          <w:rFonts w:hint="eastAsia" w:ascii="宋体" w:hAnsi="宋体" w:eastAsia="宋体" w:cs="宋体"/>
          <w:b/>
          <w:bCs/>
          <w:kern w:val="0"/>
          <w:sz w:val="24"/>
          <w:szCs w:val="24"/>
          <w:u w:val="single"/>
        </w:rPr>
        <w:t>（按照实际情况编制填写，可以是表格或文字描述）</w:t>
      </w:r>
      <w:r>
        <w:rPr>
          <w:rFonts w:hint="eastAsia" w:ascii="宋体" w:hAnsi="宋体" w:eastAsia="宋体" w:cs="宋体"/>
          <w:b/>
          <w:bCs/>
          <w:kern w:val="0"/>
          <w:sz w:val="24"/>
          <w:szCs w:val="24"/>
        </w:rPr>
        <w:t>。</w:t>
      </w:r>
    </w:p>
    <w:p w14:paraId="2D11E373">
      <w:pPr>
        <w:widowControl/>
        <w:spacing w:before="75" w:after="75"/>
        <w:ind w:firstLine="480"/>
        <w:jc w:val="left"/>
        <w:rPr>
          <w:rFonts w:ascii="宋体" w:hAnsi="宋体" w:eastAsia="宋体" w:cs="宋体"/>
          <w:b/>
          <w:bCs/>
          <w:kern w:val="0"/>
          <w:sz w:val="24"/>
          <w:szCs w:val="24"/>
        </w:rPr>
      </w:pPr>
      <w:r>
        <w:rPr>
          <w:rFonts w:hint="eastAsia" w:ascii="宋体" w:hAnsi="宋体" w:eastAsia="宋体" w:cs="宋体"/>
          <w:b/>
          <w:bCs/>
          <w:kern w:val="0"/>
          <w:sz w:val="24"/>
          <w:szCs w:val="24"/>
        </w:rPr>
        <w:t>6、验收</w:t>
      </w:r>
    </w:p>
    <w:p w14:paraId="68C7B88A">
      <w:pPr>
        <w:widowControl/>
        <w:spacing w:before="75" w:after="75"/>
        <w:ind w:firstLine="480"/>
        <w:jc w:val="left"/>
        <w:rPr>
          <w:rFonts w:ascii="宋体" w:hAnsi="宋体" w:eastAsia="宋体" w:cs="宋体"/>
          <w:b/>
          <w:bCs/>
          <w:kern w:val="0"/>
          <w:sz w:val="24"/>
          <w:szCs w:val="24"/>
        </w:rPr>
      </w:pPr>
      <w:r>
        <w:rPr>
          <w:rFonts w:hint="eastAsia" w:ascii="宋体" w:hAnsi="宋体" w:eastAsia="宋体" w:cs="宋体"/>
          <w:b/>
          <w:bCs/>
          <w:kern w:val="0"/>
          <w:sz w:val="24"/>
          <w:szCs w:val="24"/>
        </w:rPr>
        <w:t>6.1验收应按照招标文件、乙方投标文件的规定或约定进行，具体如下：</w:t>
      </w:r>
    </w:p>
    <w:p w14:paraId="2712976B">
      <w:pPr>
        <w:widowControl/>
        <w:spacing w:before="75" w:after="75"/>
        <w:ind w:firstLine="480"/>
        <w:jc w:val="left"/>
        <w:rPr>
          <w:rFonts w:ascii="宋体" w:hAnsi="宋体" w:eastAsia="宋体" w:cs="宋体"/>
          <w:b/>
          <w:bCs/>
          <w:kern w:val="0"/>
          <w:sz w:val="24"/>
          <w:szCs w:val="24"/>
        </w:rPr>
      </w:pPr>
      <w:r>
        <w:rPr>
          <w:rFonts w:hint="eastAsia" w:ascii="宋体" w:hAnsi="宋体" w:eastAsia="宋体" w:cs="宋体"/>
          <w:b/>
          <w:bCs/>
          <w:kern w:val="0"/>
          <w:sz w:val="24"/>
          <w:szCs w:val="24"/>
          <w:u w:val="single"/>
        </w:rPr>
        <w:t>（按照实际情况编制填写，可以是表格或文字描述）</w:t>
      </w:r>
      <w:r>
        <w:rPr>
          <w:rFonts w:hint="eastAsia" w:ascii="宋体" w:hAnsi="宋体" w:eastAsia="宋体" w:cs="宋体"/>
          <w:b/>
          <w:bCs/>
          <w:kern w:val="0"/>
          <w:sz w:val="24"/>
          <w:szCs w:val="24"/>
        </w:rPr>
        <w:t>。</w:t>
      </w:r>
    </w:p>
    <w:p w14:paraId="45D2BE9D">
      <w:pPr>
        <w:widowControl/>
        <w:spacing w:before="75" w:after="75"/>
        <w:ind w:firstLine="480"/>
        <w:jc w:val="left"/>
        <w:rPr>
          <w:rFonts w:ascii="宋体" w:hAnsi="宋体" w:eastAsia="宋体" w:cs="宋体"/>
          <w:b/>
          <w:bCs/>
          <w:kern w:val="0"/>
          <w:sz w:val="24"/>
          <w:szCs w:val="24"/>
        </w:rPr>
      </w:pPr>
      <w:r>
        <w:rPr>
          <w:rFonts w:hint="eastAsia" w:ascii="宋体" w:hAnsi="宋体" w:eastAsia="宋体" w:cs="宋体"/>
          <w:b/>
          <w:bCs/>
          <w:kern w:val="0"/>
          <w:sz w:val="24"/>
          <w:szCs w:val="24"/>
        </w:rPr>
        <w:t>6.2本项目是否邀请其他投标人参与验收：</w:t>
      </w:r>
    </w:p>
    <w:p w14:paraId="6BE272C0">
      <w:pPr>
        <w:widowControl/>
        <w:spacing w:before="75" w:after="75"/>
        <w:ind w:firstLine="480"/>
        <w:jc w:val="left"/>
        <w:rPr>
          <w:rFonts w:ascii="宋体" w:hAnsi="宋体" w:eastAsia="宋体" w:cs="宋体"/>
          <w:b/>
          <w:bCs/>
          <w:kern w:val="0"/>
          <w:sz w:val="24"/>
          <w:szCs w:val="24"/>
        </w:rPr>
      </w:pPr>
      <w:r>
        <w:rPr>
          <w:rFonts w:hint="eastAsia" w:ascii="宋体" w:hAnsi="宋体" w:eastAsia="宋体" w:cs="宋体"/>
          <w:b/>
          <w:bCs/>
          <w:kern w:val="0"/>
          <w:sz w:val="24"/>
          <w:szCs w:val="24"/>
        </w:rPr>
        <w:t>□不邀请。□邀请，具体如下：</w:t>
      </w:r>
      <w:r>
        <w:rPr>
          <w:rFonts w:hint="eastAsia" w:ascii="宋体" w:hAnsi="宋体" w:eastAsia="宋体" w:cs="宋体"/>
          <w:b/>
          <w:bCs/>
          <w:kern w:val="0"/>
          <w:sz w:val="24"/>
          <w:szCs w:val="24"/>
          <w:u w:val="single"/>
        </w:rPr>
        <w:t>（按照招标文件规定填写）</w:t>
      </w:r>
      <w:r>
        <w:rPr>
          <w:rFonts w:hint="eastAsia" w:ascii="宋体" w:hAnsi="宋体" w:eastAsia="宋体" w:cs="宋体"/>
          <w:b/>
          <w:bCs/>
          <w:kern w:val="0"/>
          <w:sz w:val="24"/>
          <w:szCs w:val="24"/>
        </w:rPr>
        <w:t>。</w:t>
      </w:r>
    </w:p>
    <w:p w14:paraId="7F927980">
      <w:pPr>
        <w:widowControl/>
        <w:spacing w:before="75" w:after="75"/>
        <w:ind w:firstLine="480"/>
        <w:jc w:val="left"/>
        <w:rPr>
          <w:rFonts w:ascii="宋体" w:hAnsi="宋体" w:eastAsia="宋体" w:cs="宋体"/>
          <w:b/>
          <w:bCs/>
          <w:kern w:val="0"/>
          <w:sz w:val="24"/>
          <w:szCs w:val="24"/>
        </w:rPr>
      </w:pPr>
      <w:r>
        <w:rPr>
          <w:rFonts w:hint="eastAsia" w:ascii="宋体" w:hAnsi="宋体" w:eastAsia="宋体" w:cs="宋体"/>
          <w:b/>
          <w:bCs/>
          <w:kern w:val="0"/>
          <w:sz w:val="24"/>
          <w:szCs w:val="24"/>
        </w:rPr>
        <w:t>7、合同款项的支付应按照招标文件的规定进行，具体如下：</w:t>
      </w:r>
    </w:p>
    <w:p w14:paraId="6FBB6100">
      <w:pPr>
        <w:widowControl/>
        <w:spacing w:before="75" w:after="75"/>
        <w:ind w:firstLine="480"/>
        <w:jc w:val="left"/>
        <w:rPr>
          <w:rFonts w:ascii="宋体" w:hAnsi="宋体" w:eastAsia="宋体" w:cs="宋体"/>
          <w:b/>
          <w:bCs/>
          <w:kern w:val="0"/>
          <w:sz w:val="24"/>
          <w:szCs w:val="24"/>
        </w:rPr>
      </w:pPr>
      <w:r>
        <w:rPr>
          <w:rFonts w:hint="eastAsia" w:ascii="宋体" w:hAnsi="宋体" w:eastAsia="宋体" w:cs="宋体"/>
          <w:b/>
          <w:bCs/>
          <w:kern w:val="0"/>
          <w:sz w:val="24"/>
          <w:szCs w:val="24"/>
          <w:u w:val="single"/>
        </w:rPr>
        <w:t>（按照实际情况编制填写，可以是表格或文字描述，包括一次性支付或分期支付等）</w:t>
      </w:r>
      <w:r>
        <w:rPr>
          <w:rFonts w:hint="eastAsia" w:ascii="宋体" w:hAnsi="宋体" w:eastAsia="宋体" w:cs="宋体"/>
          <w:b/>
          <w:bCs/>
          <w:kern w:val="0"/>
          <w:sz w:val="24"/>
          <w:szCs w:val="24"/>
        </w:rPr>
        <w:t>。</w:t>
      </w:r>
    </w:p>
    <w:p w14:paraId="67142351">
      <w:pPr>
        <w:widowControl/>
        <w:spacing w:before="75" w:after="75"/>
        <w:ind w:firstLine="480"/>
        <w:jc w:val="left"/>
        <w:rPr>
          <w:rFonts w:ascii="宋体" w:hAnsi="宋体" w:eastAsia="宋体" w:cs="宋体"/>
          <w:b/>
          <w:bCs/>
          <w:kern w:val="0"/>
          <w:sz w:val="24"/>
          <w:szCs w:val="24"/>
        </w:rPr>
      </w:pPr>
      <w:r>
        <w:rPr>
          <w:rFonts w:hint="eastAsia" w:ascii="宋体" w:hAnsi="宋体" w:eastAsia="宋体" w:cs="宋体"/>
          <w:b/>
          <w:bCs/>
          <w:kern w:val="0"/>
          <w:sz w:val="24"/>
          <w:szCs w:val="24"/>
        </w:rPr>
        <w:t>8、履约保证金</w:t>
      </w:r>
    </w:p>
    <w:p w14:paraId="12F9ACEC">
      <w:pPr>
        <w:widowControl/>
        <w:spacing w:before="75" w:after="75"/>
        <w:ind w:firstLine="480"/>
        <w:jc w:val="left"/>
        <w:rPr>
          <w:rFonts w:ascii="宋体" w:hAnsi="宋体" w:eastAsia="宋体" w:cs="宋体"/>
          <w:b/>
          <w:bCs/>
          <w:kern w:val="0"/>
          <w:sz w:val="24"/>
          <w:szCs w:val="24"/>
        </w:rPr>
      </w:pPr>
      <w:r>
        <w:rPr>
          <w:rFonts w:hint="eastAsia" w:ascii="宋体" w:hAnsi="宋体" w:eastAsia="宋体" w:cs="宋体"/>
          <w:b/>
          <w:bCs/>
          <w:kern w:val="0"/>
          <w:sz w:val="24"/>
          <w:szCs w:val="24"/>
        </w:rPr>
        <w:t>□无。□有，具体如下：</w:t>
      </w:r>
      <w:r>
        <w:rPr>
          <w:rFonts w:hint="eastAsia" w:ascii="宋体" w:hAnsi="宋体" w:eastAsia="宋体" w:cs="宋体"/>
          <w:b/>
          <w:bCs/>
          <w:kern w:val="0"/>
          <w:sz w:val="24"/>
          <w:szCs w:val="24"/>
          <w:u w:val="single"/>
        </w:rPr>
        <w:t>（按照招标文件规定填写）</w:t>
      </w:r>
      <w:r>
        <w:rPr>
          <w:rFonts w:hint="eastAsia" w:ascii="宋体" w:hAnsi="宋体" w:eastAsia="宋体" w:cs="宋体"/>
          <w:b/>
          <w:bCs/>
          <w:kern w:val="0"/>
          <w:sz w:val="24"/>
          <w:szCs w:val="24"/>
        </w:rPr>
        <w:t>。</w:t>
      </w:r>
    </w:p>
    <w:p w14:paraId="1A0AD496">
      <w:pPr>
        <w:widowControl/>
        <w:spacing w:before="75" w:after="75"/>
        <w:ind w:firstLine="480"/>
        <w:jc w:val="left"/>
        <w:rPr>
          <w:rFonts w:ascii="宋体" w:hAnsi="宋体" w:eastAsia="宋体" w:cs="宋体"/>
          <w:b/>
          <w:bCs/>
          <w:kern w:val="0"/>
          <w:sz w:val="24"/>
          <w:szCs w:val="24"/>
        </w:rPr>
      </w:pPr>
      <w:r>
        <w:rPr>
          <w:rFonts w:hint="eastAsia" w:ascii="宋体" w:hAnsi="宋体" w:eastAsia="宋体" w:cs="宋体"/>
          <w:b/>
          <w:bCs/>
          <w:kern w:val="0"/>
          <w:sz w:val="24"/>
          <w:szCs w:val="24"/>
        </w:rPr>
        <w:t>9、合同有效期</w:t>
      </w:r>
    </w:p>
    <w:p w14:paraId="2C030689">
      <w:pPr>
        <w:widowControl/>
        <w:spacing w:before="75" w:after="75"/>
        <w:ind w:firstLine="480"/>
        <w:jc w:val="left"/>
        <w:rPr>
          <w:rFonts w:ascii="宋体" w:hAnsi="宋体" w:eastAsia="宋体" w:cs="宋体"/>
          <w:b/>
          <w:bCs/>
          <w:kern w:val="0"/>
          <w:sz w:val="24"/>
          <w:szCs w:val="24"/>
        </w:rPr>
      </w:pPr>
      <w:r>
        <w:rPr>
          <w:rFonts w:hint="eastAsia" w:ascii="宋体" w:hAnsi="宋体" w:eastAsia="宋体" w:cs="宋体"/>
          <w:b/>
          <w:bCs/>
          <w:kern w:val="0"/>
          <w:sz w:val="24"/>
          <w:szCs w:val="24"/>
          <w:u w:val="single"/>
        </w:rPr>
        <w:t>（按照实际情况编制填写，可以是表格或文字描述）</w:t>
      </w:r>
      <w:r>
        <w:rPr>
          <w:rFonts w:hint="eastAsia" w:ascii="宋体" w:hAnsi="宋体" w:eastAsia="宋体" w:cs="宋体"/>
          <w:b/>
          <w:bCs/>
          <w:kern w:val="0"/>
          <w:sz w:val="24"/>
          <w:szCs w:val="24"/>
        </w:rPr>
        <w:t>。</w:t>
      </w:r>
    </w:p>
    <w:p w14:paraId="13FB653C">
      <w:pPr>
        <w:widowControl/>
        <w:spacing w:before="75" w:after="75"/>
        <w:ind w:firstLine="480"/>
        <w:jc w:val="left"/>
        <w:rPr>
          <w:rFonts w:ascii="宋体" w:hAnsi="宋体" w:eastAsia="宋体" w:cs="宋体"/>
          <w:b/>
          <w:bCs/>
          <w:kern w:val="0"/>
          <w:sz w:val="24"/>
          <w:szCs w:val="24"/>
        </w:rPr>
      </w:pPr>
      <w:r>
        <w:rPr>
          <w:rFonts w:hint="eastAsia" w:ascii="宋体" w:hAnsi="宋体" w:eastAsia="宋体" w:cs="宋体"/>
          <w:b/>
          <w:bCs/>
          <w:kern w:val="0"/>
          <w:sz w:val="24"/>
          <w:szCs w:val="24"/>
        </w:rPr>
        <w:t>10、违约责任</w:t>
      </w:r>
    </w:p>
    <w:p w14:paraId="1843F5B3">
      <w:pPr>
        <w:widowControl/>
        <w:spacing w:before="75" w:after="75"/>
        <w:ind w:firstLine="480"/>
        <w:jc w:val="left"/>
        <w:rPr>
          <w:rFonts w:ascii="宋体" w:hAnsi="宋体" w:eastAsia="宋体" w:cs="宋体"/>
          <w:b/>
          <w:bCs/>
          <w:kern w:val="0"/>
          <w:sz w:val="24"/>
          <w:szCs w:val="24"/>
        </w:rPr>
      </w:pPr>
      <w:r>
        <w:rPr>
          <w:rFonts w:hint="eastAsia" w:ascii="宋体" w:hAnsi="宋体" w:eastAsia="宋体" w:cs="宋体"/>
          <w:b/>
          <w:bCs/>
          <w:kern w:val="0"/>
          <w:sz w:val="24"/>
          <w:szCs w:val="24"/>
          <w:u w:val="single"/>
        </w:rPr>
        <w:t>（按照实际情况编制填写，可以是表格或文字描述）</w:t>
      </w:r>
      <w:r>
        <w:rPr>
          <w:rFonts w:hint="eastAsia" w:ascii="宋体" w:hAnsi="宋体" w:eastAsia="宋体" w:cs="宋体"/>
          <w:b/>
          <w:bCs/>
          <w:kern w:val="0"/>
          <w:sz w:val="24"/>
          <w:szCs w:val="24"/>
        </w:rPr>
        <w:t>。</w:t>
      </w:r>
    </w:p>
    <w:p w14:paraId="35DFB2DD">
      <w:pPr>
        <w:widowControl/>
        <w:spacing w:before="75" w:after="75"/>
        <w:ind w:firstLine="480"/>
        <w:jc w:val="left"/>
        <w:rPr>
          <w:rFonts w:ascii="宋体" w:hAnsi="宋体" w:eastAsia="宋体" w:cs="宋体"/>
          <w:b/>
          <w:bCs/>
          <w:kern w:val="0"/>
          <w:sz w:val="24"/>
          <w:szCs w:val="24"/>
        </w:rPr>
      </w:pPr>
      <w:r>
        <w:rPr>
          <w:rFonts w:hint="eastAsia" w:ascii="宋体" w:hAnsi="宋体" w:eastAsia="宋体" w:cs="宋体"/>
          <w:b/>
          <w:bCs/>
          <w:kern w:val="0"/>
          <w:sz w:val="24"/>
          <w:szCs w:val="24"/>
        </w:rPr>
        <w:t>11、知识产权</w:t>
      </w:r>
    </w:p>
    <w:p w14:paraId="0891D3CE">
      <w:pPr>
        <w:widowControl/>
        <w:spacing w:before="75" w:after="75"/>
        <w:ind w:firstLine="480"/>
        <w:jc w:val="left"/>
        <w:rPr>
          <w:rFonts w:ascii="宋体" w:hAnsi="宋体" w:eastAsia="宋体" w:cs="宋体"/>
          <w:b/>
          <w:bCs/>
          <w:kern w:val="0"/>
          <w:sz w:val="24"/>
          <w:szCs w:val="24"/>
        </w:rPr>
      </w:pPr>
      <w:r>
        <w:rPr>
          <w:rFonts w:hint="eastAsia" w:ascii="宋体" w:hAnsi="宋体" w:eastAsia="宋体" w:cs="宋体"/>
          <w:b/>
          <w:bCs/>
          <w:kern w:val="0"/>
          <w:sz w:val="24"/>
          <w:szCs w:val="24"/>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14:paraId="2C6068B3">
      <w:pPr>
        <w:widowControl/>
        <w:spacing w:before="75" w:after="75"/>
        <w:ind w:firstLine="480"/>
        <w:jc w:val="left"/>
        <w:rPr>
          <w:rFonts w:ascii="宋体" w:hAnsi="宋体" w:eastAsia="宋体" w:cs="宋体"/>
          <w:b/>
          <w:bCs/>
          <w:kern w:val="0"/>
          <w:sz w:val="24"/>
          <w:szCs w:val="24"/>
        </w:rPr>
      </w:pPr>
      <w:r>
        <w:rPr>
          <w:rFonts w:hint="eastAsia" w:ascii="宋体" w:hAnsi="宋体" w:eastAsia="宋体" w:cs="宋体"/>
          <w:b/>
          <w:bCs/>
          <w:kern w:val="0"/>
          <w:sz w:val="24"/>
          <w:szCs w:val="24"/>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eastAsia="宋体" w:cs="宋体"/>
          <w:b/>
          <w:bCs/>
          <w:kern w:val="0"/>
          <w:sz w:val="24"/>
          <w:szCs w:val="24"/>
          <w:u w:val="single"/>
        </w:rPr>
        <w:t>（按照实际情况编制填写）</w:t>
      </w:r>
      <w:r>
        <w:rPr>
          <w:rFonts w:hint="eastAsia" w:ascii="宋体" w:hAnsi="宋体" w:eastAsia="宋体" w:cs="宋体"/>
          <w:b/>
          <w:bCs/>
          <w:kern w:val="0"/>
          <w:sz w:val="24"/>
          <w:szCs w:val="24"/>
        </w:rPr>
        <w:t>。</w:t>
      </w:r>
    </w:p>
    <w:p w14:paraId="045D5EF8">
      <w:pPr>
        <w:widowControl/>
        <w:spacing w:before="75" w:after="75"/>
        <w:ind w:firstLine="480"/>
        <w:jc w:val="left"/>
        <w:rPr>
          <w:rFonts w:ascii="宋体" w:hAnsi="宋体" w:eastAsia="宋体" w:cs="宋体"/>
          <w:b/>
          <w:bCs/>
          <w:kern w:val="0"/>
          <w:sz w:val="24"/>
          <w:szCs w:val="24"/>
        </w:rPr>
      </w:pPr>
      <w:r>
        <w:rPr>
          <w:rFonts w:hint="eastAsia" w:ascii="宋体" w:hAnsi="宋体" w:eastAsia="宋体" w:cs="宋体"/>
          <w:b/>
          <w:bCs/>
          <w:kern w:val="0"/>
          <w:sz w:val="24"/>
          <w:szCs w:val="24"/>
        </w:rPr>
        <w:t>12、解决争议的方法</w:t>
      </w:r>
    </w:p>
    <w:p w14:paraId="4D67C84F">
      <w:pPr>
        <w:widowControl/>
        <w:spacing w:before="75" w:after="75"/>
        <w:ind w:firstLine="480"/>
        <w:jc w:val="left"/>
        <w:rPr>
          <w:rFonts w:ascii="宋体" w:hAnsi="宋体" w:eastAsia="宋体" w:cs="宋体"/>
          <w:b/>
          <w:bCs/>
          <w:kern w:val="0"/>
          <w:sz w:val="24"/>
          <w:szCs w:val="24"/>
        </w:rPr>
      </w:pPr>
      <w:r>
        <w:rPr>
          <w:rFonts w:hint="eastAsia" w:ascii="宋体" w:hAnsi="宋体" w:eastAsia="宋体" w:cs="宋体"/>
          <w:b/>
          <w:bCs/>
          <w:kern w:val="0"/>
          <w:sz w:val="24"/>
          <w:szCs w:val="24"/>
        </w:rPr>
        <w:t>12.1甲、乙双方协商解决。</w:t>
      </w:r>
    </w:p>
    <w:p w14:paraId="519255A3">
      <w:pPr>
        <w:widowControl/>
        <w:spacing w:before="75" w:after="75"/>
        <w:ind w:firstLine="480"/>
        <w:jc w:val="left"/>
        <w:rPr>
          <w:rFonts w:ascii="宋体" w:hAnsi="宋体" w:eastAsia="宋体" w:cs="宋体"/>
          <w:b/>
          <w:bCs/>
          <w:kern w:val="0"/>
          <w:sz w:val="24"/>
          <w:szCs w:val="24"/>
        </w:rPr>
      </w:pPr>
      <w:r>
        <w:rPr>
          <w:rFonts w:hint="eastAsia" w:ascii="宋体" w:hAnsi="宋体" w:eastAsia="宋体" w:cs="宋体"/>
          <w:b/>
          <w:bCs/>
          <w:kern w:val="0"/>
          <w:sz w:val="24"/>
          <w:szCs w:val="24"/>
        </w:rPr>
        <w:t>12.2若协商解决不成，则通过下列途径之一解决：</w:t>
      </w:r>
    </w:p>
    <w:p w14:paraId="4F6396F9">
      <w:pPr>
        <w:widowControl/>
        <w:spacing w:before="75" w:after="75"/>
        <w:ind w:firstLine="480"/>
        <w:jc w:val="left"/>
        <w:rPr>
          <w:rFonts w:ascii="宋体" w:hAnsi="宋体" w:eastAsia="宋体" w:cs="宋体"/>
          <w:b/>
          <w:bCs/>
          <w:kern w:val="0"/>
          <w:sz w:val="24"/>
          <w:szCs w:val="24"/>
        </w:rPr>
      </w:pPr>
      <w:r>
        <w:rPr>
          <w:rFonts w:hint="eastAsia" w:ascii="宋体" w:hAnsi="宋体" w:eastAsia="宋体" w:cs="宋体"/>
          <w:b/>
          <w:bCs/>
          <w:kern w:val="0"/>
          <w:sz w:val="24"/>
          <w:szCs w:val="24"/>
        </w:rPr>
        <w:t>□提交仲裁委员会仲裁，具体如下：</w:t>
      </w:r>
      <w:r>
        <w:rPr>
          <w:rFonts w:hint="eastAsia" w:ascii="宋体" w:hAnsi="宋体" w:eastAsia="宋体" w:cs="宋体"/>
          <w:b/>
          <w:bCs/>
          <w:kern w:val="0"/>
          <w:sz w:val="24"/>
          <w:szCs w:val="24"/>
          <w:u w:val="single"/>
        </w:rPr>
        <w:t>（按照实际情况编制填写）</w:t>
      </w:r>
      <w:r>
        <w:rPr>
          <w:rFonts w:hint="eastAsia" w:ascii="宋体" w:hAnsi="宋体" w:eastAsia="宋体" w:cs="宋体"/>
          <w:b/>
          <w:bCs/>
          <w:kern w:val="0"/>
          <w:sz w:val="24"/>
          <w:szCs w:val="24"/>
        </w:rPr>
        <w:t>。</w:t>
      </w:r>
    </w:p>
    <w:p w14:paraId="688CA484">
      <w:pPr>
        <w:widowControl/>
        <w:spacing w:before="75" w:after="75"/>
        <w:ind w:firstLine="480"/>
        <w:jc w:val="left"/>
        <w:rPr>
          <w:rFonts w:ascii="宋体" w:hAnsi="宋体" w:eastAsia="宋体" w:cs="宋体"/>
          <w:b/>
          <w:bCs/>
          <w:kern w:val="0"/>
          <w:sz w:val="24"/>
          <w:szCs w:val="24"/>
        </w:rPr>
      </w:pPr>
      <w:r>
        <w:rPr>
          <w:rFonts w:hint="eastAsia" w:ascii="宋体" w:hAnsi="宋体" w:eastAsia="宋体" w:cs="宋体"/>
          <w:b/>
          <w:bCs/>
          <w:kern w:val="0"/>
          <w:sz w:val="24"/>
          <w:szCs w:val="24"/>
        </w:rPr>
        <w:t>□向人民法院提起诉讼，具体如下：</w:t>
      </w:r>
      <w:r>
        <w:rPr>
          <w:rFonts w:hint="eastAsia" w:ascii="宋体" w:hAnsi="宋体" w:eastAsia="宋体" w:cs="宋体"/>
          <w:b/>
          <w:bCs/>
          <w:kern w:val="0"/>
          <w:sz w:val="24"/>
          <w:szCs w:val="24"/>
          <w:u w:val="single"/>
        </w:rPr>
        <w:t>（按照实际情况编制填写）</w:t>
      </w:r>
      <w:r>
        <w:rPr>
          <w:rFonts w:hint="eastAsia" w:ascii="宋体" w:hAnsi="宋体" w:eastAsia="宋体" w:cs="宋体"/>
          <w:b/>
          <w:bCs/>
          <w:kern w:val="0"/>
          <w:sz w:val="24"/>
          <w:szCs w:val="24"/>
        </w:rPr>
        <w:t>。</w:t>
      </w:r>
    </w:p>
    <w:p w14:paraId="7BA70321">
      <w:pPr>
        <w:widowControl/>
        <w:spacing w:before="75" w:after="75"/>
        <w:ind w:firstLine="480"/>
        <w:jc w:val="left"/>
        <w:rPr>
          <w:rFonts w:ascii="宋体" w:hAnsi="宋体" w:eastAsia="宋体" w:cs="宋体"/>
          <w:b/>
          <w:bCs/>
          <w:kern w:val="0"/>
          <w:sz w:val="24"/>
          <w:szCs w:val="24"/>
        </w:rPr>
      </w:pPr>
      <w:r>
        <w:rPr>
          <w:rFonts w:hint="eastAsia" w:ascii="宋体" w:hAnsi="宋体" w:eastAsia="宋体" w:cs="宋体"/>
          <w:b/>
          <w:bCs/>
          <w:kern w:val="0"/>
          <w:sz w:val="24"/>
          <w:szCs w:val="24"/>
        </w:rPr>
        <w:t>13、不可抗力</w:t>
      </w:r>
    </w:p>
    <w:p w14:paraId="79DD898F">
      <w:pPr>
        <w:widowControl/>
        <w:spacing w:before="75" w:after="75"/>
        <w:ind w:firstLine="480"/>
        <w:jc w:val="left"/>
        <w:rPr>
          <w:rFonts w:ascii="宋体" w:hAnsi="宋体" w:eastAsia="宋体" w:cs="宋体"/>
          <w:b/>
          <w:bCs/>
          <w:kern w:val="0"/>
          <w:sz w:val="24"/>
          <w:szCs w:val="24"/>
        </w:rPr>
      </w:pPr>
      <w:r>
        <w:rPr>
          <w:rFonts w:hint="eastAsia" w:ascii="宋体" w:hAnsi="宋体" w:eastAsia="宋体" w:cs="宋体"/>
          <w:b/>
          <w:bCs/>
          <w:kern w:val="0"/>
          <w:sz w:val="24"/>
          <w:szCs w:val="24"/>
        </w:rPr>
        <w:t>13.1因不可抗力造成违约的，遭受不可抗力一方应及时向对方通报不能履行或不能完全履行的理由，并在随后取得有关主管机关证明后的</w:t>
      </w:r>
      <w:r>
        <w:rPr>
          <w:rFonts w:ascii="Calibri" w:hAnsi="Calibri" w:eastAsia="宋体" w:cs="Calibri"/>
          <w:b/>
          <w:bCs/>
          <w:kern w:val="0"/>
          <w:sz w:val="24"/>
          <w:szCs w:val="24"/>
        </w:rPr>
        <w:t>15</w:t>
      </w:r>
      <w:r>
        <w:rPr>
          <w:rFonts w:hint="eastAsia" w:ascii="宋体" w:hAnsi="宋体" w:eastAsia="宋体" w:cs="宋体"/>
          <w:b/>
          <w:bCs/>
          <w:kern w:val="0"/>
          <w:sz w:val="24"/>
          <w:szCs w:val="24"/>
        </w:rPr>
        <w:t>日内向另一方提供不可抗力发生及持续期间的充分证据。基于以上行为，允许遭受不可抗力一方延期履行、部分履行或不履行合同，并根据情况可部分或全部免于承担违约责任。</w:t>
      </w:r>
    </w:p>
    <w:p w14:paraId="2CA24F03">
      <w:pPr>
        <w:widowControl/>
        <w:spacing w:before="75" w:after="75"/>
        <w:ind w:firstLine="480"/>
        <w:jc w:val="left"/>
        <w:rPr>
          <w:rFonts w:ascii="宋体" w:hAnsi="宋体" w:eastAsia="宋体" w:cs="宋体"/>
          <w:b/>
          <w:bCs/>
          <w:kern w:val="0"/>
          <w:sz w:val="24"/>
          <w:szCs w:val="24"/>
        </w:rPr>
      </w:pPr>
      <w:r>
        <w:rPr>
          <w:rFonts w:hint="eastAsia" w:ascii="宋体" w:hAnsi="宋体" w:eastAsia="宋体" w:cs="宋体"/>
          <w:b/>
          <w:bCs/>
          <w:kern w:val="0"/>
          <w:sz w:val="24"/>
          <w:szCs w:val="24"/>
        </w:rPr>
        <w:t>13.2本合同中的不可抗力指不能预见、不能避免、不能克服的客观情况，包括但不限于：自然灾害如地震、台风、洪水、火灾及政府行为、法律规定或其适用的变化或其他任何无法预见、避免或控制的事件。</w:t>
      </w:r>
    </w:p>
    <w:p w14:paraId="59C6C377">
      <w:pPr>
        <w:widowControl/>
        <w:spacing w:before="75" w:after="75"/>
        <w:ind w:firstLine="480"/>
        <w:jc w:val="left"/>
        <w:rPr>
          <w:rFonts w:ascii="宋体" w:hAnsi="宋体" w:eastAsia="宋体" w:cs="宋体"/>
          <w:b/>
          <w:bCs/>
          <w:kern w:val="0"/>
          <w:sz w:val="24"/>
          <w:szCs w:val="24"/>
        </w:rPr>
      </w:pPr>
      <w:r>
        <w:rPr>
          <w:rFonts w:hint="eastAsia" w:ascii="宋体" w:hAnsi="宋体" w:eastAsia="宋体" w:cs="宋体"/>
          <w:b/>
          <w:bCs/>
          <w:kern w:val="0"/>
          <w:sz w:val="24"/>
          <w:szCs w:val="24"/>
        </w:rPr>
        <w:t>14、合同条款</w:t>
      </w:r>
    </w:p>
    <w:p w14:paraId="58A2E15D">
      <w:pPr>
        <w:widowControl/>
        <w:spacing w:before="75" w:after="75"/>
        <w:ind w:firstLine="480"/>
        <w:jc w:val="left"/>
        <w:rPr>
          <w:rFonts w:ascii="宋体" w:hAnsi="宋体" w:eastAsia="宋体" w:cs="宋体"/>
          <w:b/>
          <w:bCs/>
          <w:kern w:val="0"/>
          <w:sz w:val="24"/>
          <w:szCs w:val="24"/>
        </w:rPr>
      </w:pPr>
      <w:r>
        <w:rPr>
          <w:rFonts w:hint="eastAsia" w:ascii="宋体" w:hAnsi="宋体" w:eastAsia="宋体" w:cs="宋体"/>
          <w:b/>
          <w:bCs/>
          <w:kern w:val="0"/>
          <w:sz w:val="24"/>
          <w:szCs w:val="24"/>
          <w:u w:val="single"/>
        </w:rPr>
        <w:t>（按照实际情况编制填写。招标文件第五章已有规定的，双方均不得变更或调整；招标文件第五章未作规定的，双方可通过友好协商进行约定）</w:t>
      </w:r>
      <w:r>
        <w:rPr>
          <w:rFonts w:hint="eastAsia" w:ascii="宋体" w:hAnsi="宋体" w:eastAsia="宋体" w:cs="宋体"/>
          <w:b/>
          <w:bCs/>
          <w:kern w:val="0"/>
          <w:sz w:val="24"/>
          <w:szCs w:val="24"/>
        </w:rPr>
        <w:t>。</w:t>
      </w:r>
    </w:p>
    <w:p w14:paraId="3AE3231D">
      <w:pPr>
        <w:widowControl/>
        <w:spacing w:before="75" w:after="75"/>
        <w:ind w:firstLine="480"/>
        <w:jc w:val="left"/>
        <w:rPr>
          <w:rFonts w:ascii="宋体" w:hAnsi="宋体" w:eastAsia="宋体" w:cs="宋体"/>
          <w:b/>
          <w:bCs/>
          <w:kern w:val="0"/>
          <w:sz w:val="24"/>
          <w:szCs w:val="24"/>
        </w:rPr>
      </w:pPr>
      <w:r>
        <w:rPr>
          <w:rFonts w:hint="eastAsia" w:ascii="宋体" w:hAnsi="宋体" w:eastAsia="宋体" w:cs="宋体"/>
          <w:b/>
          <w:bCs/>
          <w:kern w:val="0"/>
          <w:sz w:val="24"/>
          <w:szCs w:val="24"/>
        </w:rPr>
        <w:t>15、其他约定</w:t>
      </w:r>
    </w:p>
    <w:p w14:paraId="0AC936EF">
      <w:pPr>
        <w:widowControl/>
        <w:spacing w:before="75" w:after="75"/>
        <w:ind w:firstLine="480"/>
        <w:jc w:val="left"/>
        <w:rPr>
          <w:rFonts w:ascii="宋体" w:hAnsi="宋体" w:eastAsia="宋体" w:cs="宋体"/>
          <w:b/>
          <w:bCs/>
          <w:kern w:val="0"/>
          <w:sz w:val="24"/>
          <w:szCs w:val="24"/>
        </w:rPr>
      </w:pPr>
      <w:r>
        <w:rPr>
          <w:rFonts w:hint="eastAsia" w:ascii="宋体" w:hAnsi="宋体" w:eastAsia="宋体" w:cs="宋体"/>
          <w:b/>
          <w:bCs/>
          <w:kern w:val="0"/>
          <w:sz w:val="24"/>
          <w:szCs w:val="24"/>
        </w:rPr>
        <w:t>15.1合同文件与本合同具有同等法律效力。</w:t>
      </w:r>
    </w:p>
    <w:p w14:paraId="0697FD11">
      <w:pPr>
        <w:widowControl/>
        <w:spacing w:before="75" w:after="75"/>
        <w:ind w:firstLine="480"/>
        <w:jc w:val="left"/>
        <w:rPr>
          <w:rFonts w:ascii="宋体" w:hAnsi="宋体" w:eastAsia="宋体" w:cs="宋体"/>
          <w:b/>
          <w:bCs/>
          <w:kern w:val="0"/>
          <w:sz w:val="24"/>
          <w:szCs w:val="24"/>
        </w:rPr>
      </w:pPr>
      <w:r>
        <w:rPr>
          <w:rFonts w:hint="eastAsia" w:ascii="宋体" w:hAnsi="宋体" w:eastAsia="宋体" w:cs="宋体"/>
          <w:b/>
          <w:bCs/>
          <w:kern w:val="0"/>
          <w:sz w:val="24"/>
          <w:szCs w:val="24"/>
        </w:rPr>
        <w:t>15.2本合同未尽事宜，双方可另行补充。</w:t>
      </w:r>
    </w:p>
    <w:p w14:paraId="47EEA1FC">
      <w:pPr>
        <w:widowControl/>
        <w:spacing w:before="75" w:after="75"/>
        <w:ind w:firstLine="480"/>
        <w:jc w:val="left"/>
        <w:rPr>
          <w:rFonts w:ascii="宋体" w:hAnsi="宋体" w:eastAsia="宋体" w:cs="宋体"/>
          <w:b/>
          <w:bCs/>
          <w:kern w:val="0"/>
          <w:sz w:val="24"/>
          <w:szCs w:val="24"/>
        </w:rPr>
      </w:pPr>
      <w:r>
        <w:rPr>
          <w:rFonts w:hint="eastAsia" w:ascii="宋体" w:hAnsi="宋体" w:eastAsia="宋体" w:cs="宋体"/>
          <w:b/>
          <w:bCs/>
          <w:kern w:val="0"/>
          <w:sz w:val="24"/>
          <w:szCs w:val="24"/>
        </w:rPr>
        <w:t>15.3合同生效：自签订之日起生效；通过福建省政府采购网上公开信息系统采用电子形式签订合同的，签订之日以系统记载的双方使用各自</w:t>
      </w:r>
      <w:r>
        <w:rPr>
          <w:rFonts w:ascii="Calibri" w:hAnsi="Calibri" w:eastAsia="宋体" w:cs="Calibri"/>
          <w:b/>
          <w:bCs/>
          <w:kern w:val="0"/>
          <w:sz w:val="24"/>
          <w:szCs w:val="24"/>
        </w:rPr>
        <w:t>CA</w:t>
      </w:r>
      <w:r>
        <w:rPr>
          <w:rFonts w:hint="eastAsia" w:ascii="宋体" w:hAnsi="宋体" w:eastAsia="宋体" w:cs="宋体"/>
          <w:b/>
          <w:bCs/>
          <w:kern w:val="0"/>
          <w:sz w:val="24"/>
          <w:szCs w:val="24"/>
        </w:rPr>
        <w:t>证书在合同上加盖单位公章或合同章的日期中的最晚时间为准。</w:t>
      </w:r>
    </w:p>
    <w:p w14:paraId="32B55878">
      <w:pPr>
        <w:widowControl/>
        <w:spacing w:before="75" w:after="75"/>
        <w:ind w:firstLine="480"/>
        <w:jc w:val="left"/>
        <w:rPr>
          <w:rFonts w:ascii="宋体" w:hAnsi="宋体" w:eastAsia="宋体" w:cs="宋体"/>
          <w:b/>
          <w:bCs/>
          <w:kern w:val="0"/>
          <w:sz w:val="24"/>
          <w:szCs w:val="24"/>
        </w:rPr>
      </w:pPr>
      <w:r>
        <w:rPr>
          <w:rFonts w:hint="eastAsia" w:ascii="宋体" w:hAnsi="宋体" w:eastAsia="宋体" w:cs="宋体"/>
          <w:b/>
          <w:bCs/>
          <w:kern w:val="0"/>
          <w:sz w:val="24"/>
          <w:szCs w:val="24"/>
        </w:rPr>
        <w:t>15.4本合同一式</w:t>
      </w:r>
      <w:r>
        <w:rPr>
          <w:rFonts w:hint="eastAsia" w:ascii="宋体" w:hAnsi="宋体" w:eastAsia="宋体" w:cs="宋体"/>
          <w:b/>
          <w:bCs/>
          <w:kern w:val="0"/>
          <w:sz w:val="24"/>
          <w:szCs w:val="24"/>
          <w:u w:val="single"/>
        </w:rPr>
        <w:t>（填写具体份数）</w:t>
      </w:r>
      <w:r>
        <w:rPr>
          <w:rFonts w:hint="eastAsia" w:ascii="宋体" w:hAnsi="宋体" w:eastAsia="宋体" w:cs="宋体"/>
          <w:b/>
          <w:bCs/>
          <w:kern w:val="0"/>
          <w:sz w:val="24"/>
          <w:szCs w:val="24"/>
        </w:rPr>
        <w:t>份，经双方授权代表签字并盖章后生效。甲方、乙方各执</w:t>
      </w:r>
      <w:r>
        <w:rPr>
          <w:rFonts w:hint="eastAsia" w:ascii="宋体" w:hAnsi="宋体" w:eastAsia="宋体" w:cs="宋体"/>
          <w:b/>
          <w:bCs/>
          <w:kern w:val="0"/>
          <w:sz w:val="24"/>
          <w:szCs w:val="24"/>
          <w:u w:val="single"/>
        </w:rPr>
        <w:t>（填写具体份数）</w:t>
      </w:r>
      <w:r>
        <w:rPr>
          <w:rFonts w:hint="eastAsia" w:ascii="宋体" w:hAnsi="宋体" w:eastAsia="宋体" w:cs="宋体"/>
          <w:b/>
          <w:bCs/>
          <w:kern w:val="0"/>
          <w:sz w:val="24"/>
          <w:szCs w:val="24"/>
        </w:rPr>
        <w:t>份，送</w:t>
      </w:r>
      <w:r>
        <w:rPr>
          <w:rFonts w:hint="eastAsia" w:ascii="宋体" w:hAnsi="宋体" w:eastAsia="宋体" w:cs="宋体"/>
          <w:b/>
          <w:bCs/>
          <w:kern w:val="0"/>
          <w:sz w:val="24"/>
          <w:szCs w:val="24"/>
          <w:u w:val="single"/>
        </w:rPr>
        <w:t>（填写需要备案的监管部门的全称）</w:t>
      </w:r>
      <w:r>
        <w:rPr>
          <w:rFonts w:hint="eastAsia" w:ascii="宋体" w:hAnsi="宋体" w:eastAsia="宋体" w:cs="宋体"/>
          <w:b/>
          <w:bCs/>
          <w:kern w:val="0"/>
          <w:sz w:val="24"/>
          <w:szCs w:val="24"/>
        </w:rPr>
        <w:t>备案</w:t>
      </w:r>
      <w:r>
        <w:rPr>
          <w:rFonts w:hint="eastAsia" w:ascii="宋体" w:hAnsi="宋体" w:eastAsia="宋体" w:cs="宋体"/>
          <w:b/>
          <w:bCs/>
          <w:kern w:val="0"/>
          <w:sz w:val="24"/>
          <w:szCs w:val="24"/>
          <w:u w:val="single"/>
        </w:rPr>
        <w:t>（填写具体份数）</w:t>
      </w:r>
      <w:r>
        <w:rPr>
          <w:rFonts w:hint="eastAsia" w:ascii="宋体" w:hAnsi="宋体" w:eastAsia="宋体" w:cs="宋体"/>
          <w:b/>
          <w:bCs/>
          <w:kern w:val="0"/>
          <w:sz w:val="24"/>
          <w:szCs w:val="24"/>
        </w:rPr>
        <w:t>份，具有同等效力。</w:t>
      </w:r>
    </w:p>
    <w:p w14:paraId="3D75423A">
      <w:pPr>
        <w:widowControl/>
        <w:spacing w:before="75" w:after="75"/>
        <w:ind w:firstLine="480"/>
        <w:jc w:val="left"/>
        <w:rPr>
          <w:rFonts w:ascii="宋体" w:hAnsi="宋体" w:eastAsia="宋体" w:cs="宋体"/>
          <w:b/>
          <w:bCs/>
          <w:kern w:val="0"/>
          <w:sz w:val="24"/>
          <w:szCs w:val="24"/>
        </w:rPr>
      </w:pPr>
      <w:r>
        <w:rPr>
          <w:rFonts w:hint="eastAsia" w:ascii="宋体" w:hAnsi="宋体" w:eastAsia="宋体" w:cs="宋体"/>
          <w:b/>
          <w:bCs/>
          <w:kern w:val="0"/>
          <w:sz w:val="24"/>
          <w:szCs w:val="24"/>
        </w:rPr>
        <w:t>15.5其他：□无。□</w:t>
      </w:r>
      <w:r>
        <w:rPr>
          <w:rFonts w:hint="eastAsia" w:ascii="宋体" w:hAnsi="宋体" w:eastAsia="宋体" w:cs="宋体"/>
          <w:b/>
          <w:bCs/>
          <w:kern w:val="0"/>
          <w:sz w:val="24"/>
          <w:szCs w:val="24"/>
          <w:u w:val="single"/>
        </w:rPr>
        <w:t>（按照实际情况编制填写需要增加的内容）</w:t>
      </w:r>
      <w:r>
        <w:rPr>
          <w:rFonts w:hint="eastAsia" w:ascii="宋体" w:hAnsi="宋体" w:eastAsia="宋体" w:cs="宋体"/>
          <w:b/>
          <w:bCs/>
          <w:kern w:val="0"/>
          <w:sz w:val="24"/>
          <w:szCs w:val="24"/>
        </w:rPr>
        <w:t>。</w:t>
      </w:r>
    </w:p>
    <w:p w14:paraId="501A6115">
      <w:pPr>
        <w:widowControl/>
        <w:spacing w:before="75" w:after="75"/>
        <w:jc w:val="center"/>
        <w:rPr>
          <w:rFonts w:ascii="宋体" w:hAnsi="宋体" w:eastAsia="宋体" w:cs="宋体"/>
          <w:b/>
          <w:bCs/>
          <w:kern w:val="0"/>
          <w:sz w:val="24"/>
          <w:szCs w:val="24"/>
        </w:rPr>
      </w:pPr>
      <w:r>
        <w:rPr>
          <w:rFonts w:hint="eastAsia" w:ascii="宋体" w:hAnsi="宋体" w:eastAsia="宋体" w:cs="宋体"/>
          <w:b/>
          <w:bCs/>
          <w:kern w:val="0"/>
          <w:sz w:val="24"/>
          <w:szCs w:val="24"/>
        </w:rPr>
        <w:t>（以下无正文）</w:t>
      </w:r>
    </w:p>
    <w:p w14:paraId="3C545863">
      <w:pPr>
        <w:widowControl/>
        <w:spacing w:before="75" w:after="75"/>
        <w:jc w:val="left"/>
        <w:rPr>
          <w:rFonts w:ascii="宋体" w:hAnsi="宋体" w:eastAsia="宋体" w:cs="宋体"/>
          <w:b/>
          <w:bCs/>
          <w:kern w:val="0"/>
          <w:sz w:val="24"/>
          <w:szCs w:val="24"/>
        </w:rPr>
      </w:pPr>
      <w:r>
        <w:rPr>
          <w:rFonts w:hint="eastAsia" w:ascii="宋体" w:hAnsi="宋体" w:eastAsia="宋体" w:cs="宋体"/>
          <w:b/>
          <w:bCs/>
          <w:kern w:val="0"/>
          <w:sz w:val="24"/>
          <w:szCs w:val="24"/>
        </w:rPr>
        <w:t> </w:t>
      </w:r>
    </w:p>
    <w:p w14:paraId="298CA1E6">
      <w:pPr>
        <w:widowControl/>
        <w:spacing w:before="75" w:after="75"/>
        <w:jc w:val="left"/>
        <w:rPr>
          <w:rFonts w:ascii="宋体" w:hAnsi="宋体" w:eastAsia="宋体" w:cs="宋体"/>
          <w:b/>
          <w:bCs/>
          <w:kern w:val="0"/>
          <w:sz w:val="24"/>
          <w:szCs w:val="24"/>
        </w:rPr>
      </w:pPr>
      <w:r>
        <w:rPr>
          <w:rFonts w:hint="eastAsia" w:ascii="宋体" w:hAnsi="宋体" w:eastAsia="宋体" w:cs="宋体"/>
          <w:b/>
          <w:bCs/>
          <w:kern w:val="0"/>
          <w:sz w:val="24"/>
          <w:szCs w:val="24"/>
        </w:rPr>
        <w:t> </w:t>
      </w:r>
    </w:p>
    <w:p w14:paraId="6FBB6102">
      <w:pPr>
        <w:widowControl/>
        <w:spacing w:before="75" w:after="75"/>
        <w:jc w:val="left"/>
        <w:rPr>
          <w:rFonts w:ascii="宋体" w:hAnsi="宋体" w:eastAsia="宋体" w:cs="宋体"/>
          <w:b/>
          <w:bCs/>
          <w:kern w:val="0"/>
          <w:sz w:val="24"/>
          <w:szCs w:val="24"/>
        </w:rPr>
      </w:pPr>
      <w:r>
        <w:rPr>
          <w:rFonts w:hint="eastAsia" w:ascii="宋体" w:hAnsi="宋体" w:eastAsia="宋体" w:cs="宋体"/>
          <w:b/>
          <w:bCs/>
          <w:kern w:val="0"/>
          <w:sz w:val="24"/>
          <w:szCs w:val="24"/>
        </w:rPr>
        <w:t>甲方：福建省医疗保障局乙方：</w:t>
      </w:r>
    </w:p>
    <w:p w14:paraId="11C7CC28">
      <w:pPr>
        <w:widowControl/>
        <w:spacing w:before="75" w:after="75"/>
        <w:jc w:val="left"/>
        <w:rPr>
          <w:rFonts w:ascii="宋体" w:hAnsi="宋体" w:eastAsia="宋体" w:cs="宋体"/>
          <w:b/>
          <w:bCs/>
          <w:kern w:val="0"/>
          <w:sz w:val="24"/>
          <w:szCs w:val="24"/>
        </w:rPr>
      </w:pPr>
      <w:r>
        <w:rPr>
          <w:rFonts w:hint="eastAsia" w:ascii="宋体" w:hAnsi="宋体" w:eastAsia="宋体" w:cs="宋体"/>
          <w:b/>
          <w:bCs/>
          <w:kern w:val="0"/>
          <w:sz w:val="24"/>
          <w:szCs w:val="24"/>
        </w:rPr>
        <w:t>住所：福州市鼓楼区北大路133号省物价大厦住所：</w:t>
      </w:r>
    </w:p>
    <w:p w14:paraId="492A8BCA">
      <w:pPr>
        <w:widowControl/>
        <w:spacing w:before="75" w:after="75"/>
        <w:jc w:val="left"/>
        <w:rPr>
          <w:rFonts w:ascii="宋体" w:hAnsi="宋体" w:eastAsia="宋体" w:cs="宋体"/>
          <w:b/>
          <w:bCs/>
          <w:kern w:val="0"/>
          <w:sz w:val="24"/>
          <w:szCs w:val="24"/>
        </w:rPr>
      </w:pPr>
      <w:r>
        <w:rPr>
          <w:rFonts w:hint="eastAsia" w:ascii="宋体" w:hAnsi="宋体" w:eastAsia="宋体" w:cs="宋体"/>
          <w:b/>
          <w:bCs/>
          <w:kern w:val="0"/>
          <w:sz w:val="24"/>
          <w:szCs w:val="24"/>
        </w:rPr>
        <w:t>单位负责人：王先生单位负责人：</w:t>
      </w:r>
    </w:p>
    <w:p w14:paraId="33348A3A">
      <w:pPr>
        <w:widowControl/>
        <w:spacing w:before="75" w:after="75"/>
        <w:jc w:val="left"/>
        <w:rPr>
          <w:rFonts w:ascii="宋体" w:hAnsi="宋体" w:eastAsia="宋体" w:cs="宋体"/>
          <w:b/>
          <w:bCs/>
          <w:kern w:val="0"/>
          <w:sz w:val="24"/>
          <w:szCs w:val="24"/>
        </w:rPr>
      </w:pPr>
      <w:r>
        <w:rPr>
          <w:rFonts w:hint="eastAsia" w:ascii="宋体" w:hAnsi="宋体" w:eastAsia="宋体" w:cs="宋体"/>
          <w:b/>
          <w:bCs/>
          <w:kern w:val="0"/>
          <w:sz w:val="24"/>
          <w:szCs w:val="24"/>
        </w:rPr>
        <w:t>委托代理人：059186312902委托代理人：</w:t>
      </w:r>
    </w:p>
    <w:p w14:paraId="17D5BD3B">
      <w:pPr>
        <w:widowControl/>
        <w:spacing w:before="75" w:after="75"/>
        <w:jc w:val="left"/>
        <w:rPr>
          <w:rFonts w:ascii="宋体" w:hAnsi="宋体" w:eastAsia="宋体" w:cs="宋体"/>
          <w:b/>
          <w:bCs/>
          <w:kern w:val="0"/>
          <w:sz w:val="24"/>
          <w:szCs w:val="24"/>
        </w:rPr>
      </w:pPr>
      <w:r>
        <w:rPr>
          <w:rFonts w:hint="eastAsia" w:ascii="宋体" w:hAnsi="宋体" w:eastAsia="宋体" w:cs="宋体"/>
          <w:b/>
          <w:bCs/>
          <w:kern w:val="0"/>
          <w:sz w:val="24"/>
          <w:szCs w:val="24"/>
        </w:rPr>
        <w:t>联系方法：059186312902联系方法：</w:t>
      </w:r>
    </w:p>
    <w:p w14:paraId="30D2CB43">
      <w:pPr>
        <w:widowControl/>
        <w:spacing w:before="75" w:after="75"/>
        <w:jc w:val="left"/>
        <w:rPr>
          <w:rFonts w:ascii="宋体" w:hAnsi="宋体" w:eastAsia="宋体" w:cs="宋体"/>
          <w:b/>
          <w:bCs/>
          <w:kern w:val="0"/>
          <w:sz w:val="24"/>
          <w:szCs w:val="24"/>
        </w:rPr>
      </w:pPr>
      <w:r>
        <w:rPr>
          <w:rFonts w:hint="eastAsia" w:ascii="宋体" w:hAnsi="宋体" w:eastAsia="宋体" w:cs="宋体"/>
          <w:b/>
          <w:bCs/>
          <w:kern w:val="0"/>
          <w:sz w:val="24"/>
          <w:szCs w:val="24"/>
        </w:rPr>
        <w:t>开户银行：开户银行：</w:t>
      </w:r>
    </w:p>
    <w:p w14:paraId="5B591A42">
      <w:pPr>
        <w:widowControl/>
        <w:spacing w:before="75" w:after="75"/>
        <w:jc w:val="left"/>
        <w:rPr>
          <w:rFonts w:ascii="宋体" w:hAnsi="宋体" w:eastAsia="宋体" w:cs="宋体"/>
          <w:b/>
          <w:bCs/>
          <w:kern w:val="0"/>
          <w:sz w:val="24"/>
          <w:szCs w:val="24"/>
        </w:rPr>
      </w:pPr>
      <w:r>
        <w:rPr>
          <w:rFonts w:hint="eastAsia" w:ascii="宋体" w:hAnsi="宋体" w:eastAsia="宋体" w:cs="宋体"/>
          <w:b/>
          <w:bCs/>
          <w:kern w:val="0"/>
          <w:sz w:val="24"/>
          <w:szCs w:val="24"/>
        </w:rPr>
        <w:t>账号：账号：</w:t>
      </w:r>
    </w:p>
    <w:p w14:paraId="43008992">
      <w:pPr>
        <w:widowControl/>
        <w:spacing w:before="75" w:after="75"/>
        <w:jc w:val="left"/>
        <w:rPr>
          <w:rFonts w:ascii="宋体" w:hAnsi="宋体" w:eastAsia="宋体" w:cs="宋体"/>
          <w:b/>
          <w:bCs/>
          <w:kern w:val="0"/>
          <w:sz w:val="24"/>
          <w:szCs w:val="24"/>
        </w:rPr>
      </w:pPr>
      <w:r>
        <w:rPr>
          <w:rFonts w:hint="eastAsia" w:ascii="宋体" w:hAnsi="宋体" w:eastAsia="宋体" w:cs="宋体"/>
          <w:b/>
          <w:bCs/>
          <w:kern w:val="0"/>
          <w:sz w:val="24"/>
          <w:szCs w:val="24"/>
        </w:rPr>
        <w:t> </w:t>
      </w:r>
    </w:p>
    <w:p w14:paraId="1091E873">
      <w:pPr>
        <w:widowControl/>
        <w:spacing w:before="75" w:after="75"/>
        <w:jc w:val="left"/>
        <w:rPr>
          <w:rFonts w:ascii="宋体" w:hAnsi="宋体" w:eastAsia="宋体" w:cs="宋体"/>
          <w:b/>
          <w:bCs/>
          <w:kern w:val="0"/>
          <w:sz w:val="24"/>
          <w:szCs w:val="24"/>
        </w:rPr>
      </w:pPr>
      <w:r>
        <w:rPr>
          <w:rFonts w:hint="eastAsia" w:ascii="宋体" w:hAnsi="宋体" w:eastAsia="宋体" w:cs="宋体"/>
          <w:b/>
          <w:bCs/>
          <w:kern w:val="0"/>
          <w:sz w:val="24"/>
          <w:szCs w:val="24"/>
        </w:rPr>
        <w:t> </w:t>
      </w:r>
    </w:p>
    <w:p w14:paraId="33C9DAF8">
      <w:pPr>
        <w:widowControl/>
        <w:spacing w:before="75" w:after="75"/>
        <w:jc w:val="left"/>
        <w:rPr>
          <w:rFonts w:ascii="宋体" w:hAnsi="宋体" w:eastAsia="宋体" w:cs="宋体"/>
          <w:b/>
          <w:bCs/>
          <w:kern w:val="0"/>
          <w:sz w:val="24"/>
          <w:szCs w:val="24"/>
        </w:rPr>
      </w:pPr>
      <w:r>
        <w:rPr>
          <w:rFonts w:hint="eastAsia" w:ascii="宋体" w:hAnsi="宋体" w:eastAsia="宋体" w:cs="宋体"/>
          <w:b/>
          <w:bCs/>
          <w:kern w:val="0"/>
          <w:sz w:val="24"/>
          <w:szCs w:val="24"/>
        </w:rPr>
        <w:t>签订地点：</w:t>
      </w:r>
    </w:p>
    <w:p w14:paraId="4B3A6ECB">
      <w:pPr>
        <w:widowControl/>
        <w:spacing w:before="75" w:after="75"/>
        <w:jc w:val="left"/>
        <w:rPr>
          <w:rFonts w:ascii="宋体" w:hAnsi="宋体" w:eastAsia="宋体" w:cs="宋体"/>
          <w:b/>
          <w:bCs/>
          <w:kern w:val="0"/>
          <w:sz w:val="24"/>
          <w:szCs w:val="24"/>
        </w:rPr>
      </w:pPr>
      <w:r>
        <w:rPr>
          <w:rFonts w:hint="eastAsia" w:ascii="宋体" w:hAnsi="宋体" w:eastAsia="宋体" w:cs="宋体"/>
          <w:b/>
          <w:bCs/>
          <w:kern w:val="0"/>
          <w:sz w:val="24"/>
          <w:szCs w:val="24"/>
        </w:rPr>
        <w:t>签订日期：</w:t>
      </w:r>
      <w:r>
        <w:rPr>
          <w:rFonts w:hint="eastAsia" w:ascii="宋体" w:hAnsi="宋体" w:eastAsia="宋体" w:cs="宋体"/>
          <w:b/>
          <w:bCs/>
          <w:kern w:val="0"/>
          <w:sz w:val="24"/>
          <w:szCs w:val="24"/>
          <w:u w:val="single"/>
        </w:rPr>
        <w:t>    </w:t>
      </w:r>
      <w:r>
        <w:rPr>
          <w:rFonts w:hint="eastAsia" w:ascii="宋体" w:hAnsi="宋体" w:eastAsia="宋体" w:cs="宋体"/>
          <w:b/>
          <w:bCs/>
          <w:kern w:val="0"/>
          <w:sz w:val="24"/>
          <w:szCs w:val="24"/>
        </w:rPr>
        <w:t>年</w:t>
      </w:r>
      <w:r>
        <w:rPr>
          <w:rFonts w:hint="eastAsia" w:ascii="宋体" w:hAnsi="宋体" w:eastAsia="宋体" w:cs="宋体"/>
          <w:b/>
          <w:bCs/>
          <w:kern w:val="0"/>
          <w:sz w:val="24"/>
          <w:szCs w:val="24"/>
          <w:u w:val="single"/>
        </w:rPr>
        <w:t>   </w:t>
      </w:r>
      <w:r>
        <w:rPr>
          <w:rFonts w:hint="eastAsia" w:ascii="宋体" w:hAnsi="宋体" w:eastAsia="宋体" w:cs="宋体"/>
          <w:b/>
          <w:bCs/>
          <w:kern w:val="0"/>
          <w:sz w:val="24"/>
          <w:szCs w:val="24"/>
        </w:rPr>
        <w:t>月</w:t>
      </w:r>
      <w:r>
        <w:rPr>
          <w:rFonts w:hint="eastAsia" w:ascii="宋体" w:hAnsi="宋体" w:eastAsia="宋体" w:cs="宋体"/>
          <w:b/>
          <w:bCs/>
          <w:kern w:val="0"/>
          <w:sz w:val="24"/>
          <w:szCs w:val="24"/>
          <w:u w:val="single"/>
        </w:rPr>
        <w:t>   </w:t>
      </w:r>
      <w:r>
        <w:rPr>
          <w:rFonts w:hint="eastAsia" w:ascii="宋体" w:hAnsi="宋体" w:eastAsia="宋体" w:cs="宋体"/>
          <w:b/>
          <w:bCs/>
          <w:kern w:val="0"/>
          <w:sz w:val="24"/>
          <w:szCs w:val="24"/>
        </w:rPr>
        <w:t>日</w:t>
      </w:r>
    </w:p>
    <w:p w14:paraId="66C1E0F5">
      <w:pPr>
        <w:widowControl/>
        <w:spacing w:before="75" w:after="75"/>
        <w:jc w:val="center"/>
        <w:rPr>
          <w:rFonts w:ascii="宋体" w:hAnsi="宋体" w:eastAsia="宋体" w:cs="宋体"/>
          <w:kern w:val="0"/>
          <w:sz w:val="24"/>
          <w:szCs w:val="24"/>
        </w:rPr>
      </w:pPr>
      <w:r>
        <w:rPr>
          <w:rFonts w:ascii="宋体" w:hAnsi="宋体" w:eastAsia="宋体" w:cs="宋体"/>
          <w:kern w:val="0"/>
          <w:sz w:val="24"/>
          <w:szCs w:val="24"/>
        </w:rPr>
        <w:t> </w:t>
      </w:r>
    </w:p>
    <w:p w14:paraId="796CF283">
      <w:pPr>
        <w:widowControl/>
        <w:spacing w:before="75" w:after="240"/>
        <w:jc w:val="left"/>
        <w:rPr>
          <w:rFonts w:ascii="宋体" w:hAnsi="宋体" w:eastAsia="宋体" w:cs="宋体"/>
          <w:kern w:val="0"/>
          <w:sz w:val="24"/>
          <w:szCs w:val="24"/>
        </w:rPr>
      </w:pPr>
      <w:r>
        <w:rPr>
          <w:rFonts w:ascii="宋体" w:hAnsi="宋体" w:eastAsia="宋体" w:cs="宋体"/>
          <w:kern w:val="0"/>
          <w:sz w:val="24"/>
          <w:szCs w:val="24"/>
        </w:rPr>
        <w:t> </w:t>
      </w:r>
    </w:p>
    <w:p w14:paraId="5469393B">
      <w:pPr>
        <w:widowControl/>
        <w:spacing w:before="75" w:after="75"/>
        <w:jc w:val="left"/>
        <w:rPr>
          <w:rFonts w:ascii="宋体" w:hAnsi="宋体" w:eastAsia="宋体" w:cs="宋体"/>
          <w:kern w:val="0"/>
          <w:sz w:val="24"/>
          <w:szCs w:val="24"/>
        </w:rPr>
      </w:pPr>
      <w:r>
        <w:rPr>
          <w:rFonts w:ascii="Calibri" w:hAnsi="Calibri" w:eastAsia="宋体" w:cs="Calibri"/>
          <w:kern w:val="0"/>
          <w:szCs w:val="21"/>
        </w:rPr>
        <w:t>                                                                                  </w:t>
      </w:r>
    </w:p>
    <w:p w14:paraId="09C479F7">
      <w:pPr>
        <w:widowControl/>
        <w:jc w:val="left"/>
        <w:rPr>
          <w:rFonts w:ascii="宋体" w:hAnsi="宋体" w:eastAsia="宋体" w:cs="宋体"/>
          <w:b/>
          <w:bCs/>
          <w:kern w:val="0"/>
          <w:sz w:val="32"/>
          <w:szCs w:val="32"/>
        </w:rPr>
      </w:pPr>
      <w:r>
        <w:rPr>
          <w:rFonts w:ascii="宋体" w:hAnsi="宋体" w:eastAsia="宋体" w:cs="宋体"/>
          <w:b/>
          <w:bCs/>
          <w:kern w:val="0"/>
          <w:sz w:val="32"/>
          <w:szCs w:val="32"/>
        </w:rPr>
        <w:br w:type="page"/>
      </w:r>
    </w:p>
    <w:p w14:paraId="408D7FB0">
      <w:pPr>
        <w:widowControl/>
        <w:spacing w:before="75" w:after="75"/>
        <w:jc w:val="center"/>
        <w:rPr>
          <w:rFonts w:ascii="宋体" w:hAnsi="宋体" w:eastAsia="宋体" w:cs="宋体"/>
          <w:kern w:val="0"/>
          <w:sz w:val="24"/>
          <w:szCs w:val="24"/>
        </w:rPr>
      </w:pPr>
      <w:r>
        <w:rPr>
          <w:rFonts w:hint="eastAsia" w:ascii="宋体" w:hAnsi="宋体" w:eastAsia="宋体" w:cs="宋体"/>
          <w:b/>
          <w:bCs/>
          <w:kern w:val="0"/>
          <w:sz w:val="32"/>
          <w:szCs w:val="32"/>
        </w:rPr>
        <w:t>第七章   投标文件格式</w:t>
      </w:r>
    </w:p>
    <w:p w14:paraId="2A86FC53">
      <w:pPr>
        <w:widowControl/>
        <w:spacing w:after="150"/>
        <w:jc w:val="center"/>
        <w:rPr>
          <w:rFonts w:ascii="宋体" w:hAnsi="宋体" w:eastAsia="宋体" w:cs="宋体"/>
          <w:kern w:val="0"/>
          <w:sz w:val="24"/>
          <w:szCs w:val="24"/>
        </w:rPr>
      </w:pPr>
      <w:r>
        <w:rPr>
          <w:rFonts w:hint="eastAsia" w:ascii="宋体" w:hAnsi="宋体" w:eastAsia="宋体" w:cs="宋体"/>
          <w:b/>
          <w:bCs/>
          <w:kern w:val="0"/>
          <w:sz w:val="24"/>
          <w:szCs w:val="24"/>
        </w:rPr>
        <w:t>编制说明</w:t>
      </w:r>
    </w:p>
    <w:p w14:paraId="668BA56E">
      <w:pPr>
        <w:widowControl/>
        <w:spacing w:after="150"/>
        <w:jc w:val="left"/>
        <w:rPr>
          <w:rFonts w:ascii="宋体" w:hAnsi="宋体" w:eastAsia="宋体" w:cs="宋体"/>
          <w:kern w:val="0"/>
          <w:sz w:val="24"/>
          <w:szCs w:val="24"/>
        </w:rPr>
      </w:pPr>
      <w:r>
        <w:rPr>
          <w:rFonts w:hint="eastAsia" w:ascii="宋体" w:hAnsi="宋体" w:eastAsia="宋体" w:cs="宋体"/>
          <w:kern w:val="0"/>
          <w:sz w:val="24"/>
          <w:szCs w:val="24"/>
        </w:rPr>
        <w:t> </w:t>
      </w:r>
    </w:p>
    <w:p w14:paraId="5EDC22E4">
      <w:pPr>
        <w:widowControl/>
        <w:spacing w:after="150"/>
        <w:ind w:firstLine="480"/>
        <w:jc w:val="left"/>
        <w:rPr>
          <w:rFonts w:ascii="宋体" w:hAnsi="宋体" w:eastAsia="宋体" w:cs="宋体"/>
          <w:kern w:val="0"/>
          <w:sz w:val="24"/>
          <w:szCs w:val="24"/>
        </w:rPr>
      </w:pPr>
      <w:r>
        <w:rPr>
          <w:rFonts w:hint="eastAsia" w:ascii="宋体" w:hAnsi="宋体" w:eastAsia="宋体" w:cs="宋体"/>
          <w:kern w:val="0"/>
          <w:sz w:val="24"/>
          <w:szCs w:val="24"/>
        </w:rPr>
        <w:t>1、除招标文件另有规定外，本章中：</w:t>
      </w:r>
    </w:p>
    <w:p w14:paraId="082A3352">
      <w:pPr>
        <w:widowControl/>
        <w:spacing w:after="150"/>
        <w:ind w:firstLine="480"/>
        <w:jc w:val="left"/>
        <w:rPr>
          <w:rFonts w:ascii="宋体" w:hAnsi="宋体" w:eastAsia="宋体" w:cs="宋体"/>
          <w:kern w:val="0"/>
          <w:sz w:val="24"/>
          <w:szCs w:val="24"/>
        </w:rPr>
      </w:pPr>
      <w:r>
        <w:rPr>
          <w:rFonts w:hint="eastAsia" w:ascii="宋体" w:hAnsi="宋体" w:eastAsia="宋体" w:cs="宋体"/>
          <w:kern w:val="0"/>
          <w:sz w:val="24"/>
          <w:szCs w:val="24"/>
        </w:rPr>
        <w:t>1.1涉及投标人的</w:t>
      </w:r>
      <w:r>
        <w:rPr>
          <w:rFonts w:hint="eastAsia" w:ascii="宋体" w:hAnsi="宋体" w:eastAsia="宋体" w:cs="宋体"/>
          <w:b/>
          <w:bCs/>
          <w:kern w:val="0"/>
          <w:sz w:val="24"/>
          <w:szCs w:val="24"/>
        </w:rPr>
        <w:t>“全称”</w:t>
      </w:r>
      <w:r>
        <w:rPr>
          <w:rFonts w:hint="eastAsia" w:ascii="宋体" w:hAnsi="宋体" w:eastAsia="宋体" w:cs="宋体"/>
          <w:kern w:val="0"/>
          <w:sz w:val="24"/>
          <w:szCs w:val="24"/>
        </w:rPr>
        <w:t>：</w:t>
      </w:r>
    </w:p>
    <w:p w14:paraId="4B48B1FF">
      <w:pPr>
        <w:widowControl/>
        <w:spacing w:after="150"/>
        <w:ind w:firstLine="480"/>
        <w:jc w:val="left"/>
        <w:rPr>
          <w:rFonts w:ascii="宋体" w:hAnsi="宋体" w:eastAsia="宋体" w:cs="宋体"/>
          <w:kern w:val="0"/>
          <w:sz w:val="24"/>
          <w:szCs w:val="24"/>
        </w:rPr>
      </w:pPr>
      <w:r>
        <w:rPr>
          <w:rFonts w:hint="eastAsia" w:ascii="宋体" w:hAnsi="宋体" w:eastAsia="宋体" w:cs="宋体"/>
          <w:kern w:val="0"/>
          <w:sz w:val="24"/>
          <w:szCs w:val="24"/>
        </w:rPr>
        <w:t>（1）不接受联合体投标的，指</w:t>
      </w:r>
      <w:r>
        <w:rPr>
          <w:rFonts w:hint="eastAsia" w:ascii="宋体" w:hAnsi="宋体" w:eastAsia="宋体" w:cs="宋体"/>
          <w:b/>
          <w:bCs/>
          <w:kern w:val="0"/>
          <w:sz w:val="24"/>
          <w:szCs w:val="24"/>
        </w:rPr>
        <w:t>投标人的全称</w:t>
      </w:r>
      <w:r>
        <w:rPr>
          <w:rFonts w:hint="eastAsia" w:ascii="宋体" w:hAnsi="宋体" w:eastAsia="宋体" w:cs="宋体"/>
          <w:kern w:val="0"/>
          <w:sz w:val="24"/>
          <w:szCs w:val="24"/>
        </w:rPr>
        <w:t>。</w:t>
      </w:r>
    </w:p>
    <w:p w14:paraId="194E7914">
      <w:pPr>
        <w:widowControl/>
        <w:spacing w:after="150"/>
        <w:ind w:firstLine="480"/>
        <w:jc w:val="left"/>
        <w:rPr>
          <w:rFonts w:ascii="宋体" w:hAnsi="宋体" w:eastAsia="宋体" w:cs="宋体"/>
          <w:kern w:val="0"/>
          <w:sz w:val="24"/>
          <w:szCs w:val="24"/>
        </w:rPr>
      </w:pPr>
      <w:r>
        <w:rPr>
          <w:rFonts w:hint="eastAsia" w:ascii="宋体" w:hAnsi="宋体" w:eastAsia="宋体" w:cs="宋体"/>
          <w:kern w:val="0"/>
          <w:sz w:val="24"/>
          <w:szCs w:val="24"/>
        </w:rPr>
        <w:t>（2）接受联合体投标且投标人为联合体的，指</w:t>
      </w:r>
      <w:r>
        <w:rPr>
          <w:rFonts w:hint="eastAsia" w:ascii="宋体" w:hAnsi="宋体" w:eastAsia="宋体" w:cs="宋体"/>
          <w:b/>
          <w:bCs/>
          <w:kern w:val="0"/>
          <w:sz w:val="24"/>
          <w:szCs w:val="24"/>
        </w:rPr>
        <w:t>牵头方的全称</w:t>
      </w:r>
      <w:r>
        <w:rPr>
          <w:rFonts w:hint="eastAsia" w:ascii="宋体" w:hAnsi="宋体" w:eastAsia="宋体" w:cs="宋体"/>
          <w:kern w:val="0"/>
          <w:sz w:val="24"/>
          <w:szCs w:val="24"/>
        </w:rPr>
        <w:t>并加注</w:t>
      </w:r>
      <w:r>
        <w:rPr>
          <w:rFonts w:hint="eastAsia" w:ascii="宋体" w:hAnsi="宋体" w:eastAsia="宋体" w:cs="宋体"/>
          <w:b/>
          <w:bCs/>
          <w:kern w:val="0"/>
          <w:sz w:val="24"/>
          <w:szCs w:val="24"/>
        </w:rPr>
        <w:t>（联合体牵头方）</w:t>
      </w:r>
      <w:r>
        <w:rPr>
          <w:rFonts w:hint="eastAsia" w:ascii="宋体" w:hAnsi="宋体" w:eastAsia="宋体" w:cs="宋体"/>
          <w:kern w:val="0"/>
          <w:sz w:val="24"/>
          <w:szCs w:val="24"/>
        </w:rPr>
        <w:t>，即应表述为：</w:t>
      </w:r>
      <w:r>
        <w:rPr>
          <w:rFonts w:hint="eastAsia" w:ascii="宋体" w:hAnsi="宋体" w:eastAsia="宋体" w:cs="宋体"/>
          <w:b/>
          <w:bCs/>
          <w:kern w:val="0"/>
          <w:sz w:val="24"/>
          <w:szCs w:val="24"/>
        </w:rPr>
        <w:t>“牵头方的全称（联合体牵头方）”</w:t>
      </w:r>
      <w:r>
        <w:rPr>
          <w:rFonts w:hint="eastAsia" w:ascii="宋体" w:hAnsi="宋体" w:eastAsia="宋体" w:cs="宋体"/>
          <w:kern w:val="0"/>
          <w:sz w:val="24"/>
          <w:szCs w:val="24"/>
        </w:rPr>
        <w:t>。</w:t>
      </w:r>
    </w:p>
    <w:p w14:paraId="58BF642B">
      <w:pPr>
        <w:widowControl/>
        <w:spacing w:after="150"/>
        <w:ind w:firstLine="480"/>
        <w:jc w:val="left"/>
        <w:rPr>
          <w:rFonts w:ascii="宋体" w:hAnsi="宋体" w:eastAsia="宋体" w:cs="宋体"/>
          <w:kern w:val="0"/>
          <w:sz w:val="24"/>
          <w:szCs w:val="24"/>
        </w:rPr>
      </w:pPr>
      <w:r>
        <w:rPr>
          <w:rFonts w:hint="eastAsia" w:ascii="宋体" w:hAnsi="宋体" w:eastAsia="宋体" w:cs="宋体"/>
          <w:kern w:val="0"/>
          <w:sz w:val="24"/>
          <w:szCs w:val="24"/>
        </w:rPr>
        <w:t>1.2涉及投标人</w:t>
      </w:r>
      <w:r>
        <w:rPr>
          <w:rFonts w:hint="eastAsia" w:ascii="宋体" w:hAnsi="宋体" w:eastAsia="宋体" w:cs="宋体"/>
          <w:b/>
          <w:bCs/>
          <w:kern w:val="0"/>
          <w:sz w:val="24"/>
          <w:szCs w:val="24"/>
        </w:rPr>
        <w:t>“加盖单位公章”</w:t>
      </w:r>
      <w:r>
        <w:rPr>
          <w:rFonts w:hint="eastAsia" w:ascii="宋体" w:hAnsi="宋体" w:eastAsia="宋体" w:cs="宋体"/>
          <w:kern w:val="0"/>
          <w:sz w:val="24"/>
          <w:szCs w:val="24"/>
        </w:rPr>
        <w:t>：</w:t>
      </w:r>
    </w:p>
    <w:p w14:paraId="014DDF2B">
      <w:pPr>
        <w:widowControl/>
        <w:spacing w:after="150"/>
        <w:ind w:firstLine="480"/>
        <w:jc w:val="left"/>
        <w:rPr>
          <w:rFonts w:ascii="宋体" w:hAnsi="宋体" w:eastAsia="宋体" w:cs="宋体"/>
          <w:kern w:val="0"/>
          <w:sz w:val="24"/>
          <w:szCs w:val="24"/>
        </w:rPr>
      </w:pPr>
      <w:r>
        <w:rPr>
          <w:rFonts w:hint="eastAsia" w:ascii="宋体" w:hAnsi="宋体" w:eastAsia="宋体" w:cs="宋体"/>
          <w:kern w:val="0"/>
          <w:sz w:val="24"/>
          <w:szCs w:val="24"/>
        </w:rPr>
        <w:t>（1）不接受联合体投标的，指</w:t>
      </w:r>
      <w:r>
        <w:rPr>
          <w:rFonts w:hint="eastAsia" w:ascii="宋体" w:hAnsi="宋体" w:eastAsia="宋体" w:cs="宋体"/>
          <w:b/>
          <w:bCs/>
          <w:kern w:val="0"/>
          <w:sz w:val="24"/>
          <w:szCs w:val="24"/>
        </w:rPr>
        <w:t>加盖投标人的单位公章</w:t>
      </w:r>
      <w:r>
        <w:rPr>
          <w:rFonts w:hint="eastAsia" w:ascii="宋体" w:hAnsi="宋体" w:eastAsia="宋体" w:cs="宋体"/>
          <w:kern w:val="0"/>
          <w:sz w:val="24"/>
          <w:szCs w:val="24"/>
        </w:rPr>
        <w:t>。</w:t>
      </w:r>
    </w:p>
    <w:p w14:paraId="2D44A717">
      <w:pPr>
        <w:widowControl/>
        <w:spacing w:after="150"/>
        <w:ind w:firstLine="480"/>
        <w:jc w:val="left"/>
        <w:rPr>
          <w:rFonts w:ascii="宋体" w:hAnsi="宋体" w:eastAsia="宋体" w:cs="宋体"/>
          <w:kern w:val="0"/>
          <w:sz w:val="24"/>
          <w:szCs w:val="24"/>
        </w:rPr>
      </w:pPr>
      <w:r>
        <w:rPr>
          <w:rFonts w:hint="eastAsia" w:ascii="宋体" w:hAnsi="宋体" w:eastAsia="宋体" w:cs="宋体"/>
          <w:kern w:val="0"/>
          <w:sz w:val="24"/>
          <w:szCs w:val="24"/>
        </w:rPr>
        <w:t>（2）接受联合体投标且投标人为联合体的，指</w:t>
      </w:r>
      <w:r>
        <w:rPr>
          <w:rFonts w:hint="eastAsia" w:ascii="宋体" w:hAnsi="宋体" w:eastAsia="宋体" w:cs="宋体"/>
          <w:b/>
          <w:bCs/>
          <w:kern w:val="0"/>
          <w:sz w:val="24"/>
          <w:szCs w:val="24"/>
        </w:rPr>
        <w:t>加盖联合体牵头方的单位公章</w:t>
      </w:r>
      <w:r>
        <w:rPr>
          <w:rFonts w:hint="eastAsia" w:ascii="宋体" w:hAnsi="宋体" w:eastAsia="宋体" w:cs="宋体"/>
          <w:kern w:val="0"/>
          <w:sz w:val="24"/>
          <w:szCs w:val="24"/>
        </w:rPr>
        <w:t>。</w:t>
      </w:r>
    </w:p>
    <w:p w14:paraId="1B8ABA35">
      <w:pPr>
        <w:widowControl/>
        <w:spacing w:after="150"/>
        <w:ind w:firstLine="480"/>
        <w:jc w:val="left"/>
        <w:rPr>
          <w:rFonts w:ascii="宋体" w:hAnsi="宋体" w:eastAsia="宋体" w:cs="宋体"/>
          <w:kern w:val="0"/>
          <w:sz w:val="24"/>
          <w:szCs w:val="24"/>
        </w:rPr>
      </w:pPr>
      <w:r>
        <w:rPr>
          <w:rFonts w:hint="eastAsia" w:ascii="宋体" w:hAnsi="宋体" w:eastAsia="宋体" w:cs="宋体"/>
          <w:kern w:val="0"/>
          <w:sz w:val="24"/>
          <w:szCs w:val="24"/>
        </w:rPr>
        <w:t>1.3涉及</w:t>
      </w:r>
      <w:r>
        <w:rPr>
          <w:rFonts w:hint="eastAsia" w:ascii="宋体" w:hAnsi="宋体" w:eastAsia="宋体" w:cs="宋体"/>
          <w:b/>
          <w:bCs/>
          <w:kern w:val="0"/>
          <w:sz w:val="24"/>
          <w:szCs w:val="24"/>
        </w:rPr>
        <w:t>“投标人代表签字”</w:t>
      </w:r>
      <w:r>
        <w:rPr>
          <w:rFonts w:hint="eastAsia" w:ascii="宋体" w:hAnsi="宋体" w:eastAsia="宋体" w:cs="宋体"/>
          <w:kern w:val="0"/>
          <w:sz w:val="24"/>
          <w:szCs w:val="24"/>
        </w:rPr>
        <w:t>：</w:t>
      </w:r>
    </w:p>
    <w:p w14:paraId="1BDEC6BD">
      <w:pPr>
        <w:widowControl/>
        <w:spacing w:after="150"/>
        <w:ind w:firstLine="480"/>
        <w:jc w:val="left"/>
        <w:rPr>
          <w:rFonts w:ascii="宋体" w:hAnsi="宋体" w:eastAsia="宋体" w:cs="宋体"/>
          <w:kern w:val="0"/>
          <w:sz w:val="24"/>
          <w:szCs w:val="24"/>
        </w:rPr>
      </w:pPr>
      <w:r>
        <w:rPr>
          <w:rFonts w:hint="eastAsia" w:ascii="宋体" w:hAnsi="宋体" w:eastAsia="宋体" w:cs="宋体"/>
          <w:kern w:val="0"/>
          <w:sz w:val="24"/>
          <w:szCs w:val="24"/>
        </w:rPr>
        <w:t>（1）不接受联合体投标的，指由</w:t>
      </w:r>
      <w:r>
        <w:rPr>
          <w:rFonts w:hint="eastAsia" w:ascii="宋体" w:hAnsi="宋体" w:eastAsia="宋体" w:cs="宋体"/>
          <w:b/>
          <w:bCs/>
          <w:kern w:val="0"/>
          <w:sz w:val="24"/>
          <w:szCs w:val="24"/>
        </w:rPr>
        <w:t>投标人的单位负责人或其授权的委托代理人签字</w:t>
      </w:r>
      <w:r>
        <w:rPr>
          <w:rFonts w:hint="eastAsia" w:ascii="宋体" w:hAnsi="宋体" w:eastAsia="宋体" w:cs="宋体"/>
          <w:kern w:val="0"/>
          <w:sz w:val="24"/>
          <w:szCs w:val="24"/>
        </w:rPr>
        <w:t>，由委托代理人签字的，应提供“单位授权书”。</w:t>
      </w:r>
    </w:p>
    <w:p w14:paraId="2013B63D">
      <w:pPr>
        <w:widowControl/>
        <w:spacing w:after="150"/>
        <w:ind w:firstLine="480"/>
        <w:jc w:val="left"/>
        <w:rPr>
          <w:rFonts w:ascii="宋体" w:hAnsi="宋体" w:eastAsia="宋体" w:cs="宋体"/>
          <w:kern w:val="0"/>
          <w:sz w:val="24"/>
          <w:szCs w:val="24"/>
        </w:rPr>
      </w:pPr>
      <w:r>
        <w:rPr>
          <w:rFonts w:hint="eastAsia" w:ascii="宋体" w:hAnsi="宋体" w:eastAsia="宋体" w:cs="宋体"/>
          <w:kern w:val="0"/>
          <w:sz w:val="24"/>
          <w:szCs w:val="24"/>
        </w:rPr>
        <w:t>（2）接受联合体投标且投标人为联合体的，指由</w:t>
      </w:r>
      <w:r>
        <w:rPr>
          <w:rFonts w:hint="eastAsia" w:ascii="宋体" w:hAnsi="宋体" w:eastAsia="宋体" w:cs="宋体"/>
          <w:b/>
          <w:bCs/>
          <w:kern w:val="0"/>
          <w:sz w:val="24"/>
          <w:szCs w:val="24"/>
        </w:rPr>
        <w:t>联合体牵头方的单位负责人或其授权的委托代理人签字</w:t>
      </w:r>
      <w:r>
        <w:rPr>
          <w:rFonts w:hint="eastAsia" w:ascii="宋体" w:hAnsi="宋体" w:eastAsia="宋体" w:cs="宋体"/>
          <w:kern w:val="0"/>
          <w:sz w:val="24"/>
          <w:szCs w:val="24"/>
        </w:rPr>
        <w:t>，由委托代理人签字的，应提供“单位授权书”。</w:t>
      </w:r>
    </w:p>
    <w:p w14:paraId="565DD451">
      <w:pPr>
        <w:widowControl/>
        <w:spacing w:after="150"/>
        <w:ind w:firstLine="480"/>
        <w:jc w:val="left"/>
        <w:rPr>
          <w:rFonts w:ascii="宋体" w:hAnsi="宋体" w:eastAsia="宋体" w:cs="宋体"/>
          <w:kern w:val="0"/>
          <w:sz w:val="24"/>
          <w:szCs w:val="24"/>
        </w:rPr>
      </w:pPr>
      <w:r>
        <w:rPr>
          <w:rFonts w:hint="eastAsia" w:ascii="宋体" w:hAnsi="宋体" w:eastAsia="宋体" w:cs="宋体"/>
          <w:kern w:val="0"/>
          <w:sz w:val="24"/>
          <w:szCs w:val="24"/>
        </w:rPr>
        <w:t>1.4</w:t>
      </w:r>
      <w:r>
        <w:rPr>
          <w:rFonts w:hint="eastAsia" w:ascii="宋体" w:hAnsi="宋体" w:eastAsia="宋体" w:cs="宋体"/>
          <w:b/>
          <w:bCs/>
          <w:kern w:val="0"/>
          <w:sz w:val="24"/>
          <w:szCs w:val="24"/>
        </w:rPr>
        <w:t>“其他组织”</w:t>
      </w:r>
      <w:r>
        <w:rPr>
          <w:rFonts w:hint="eastAsia" w:ascii="宋体" w:hAnsi="宋体" w:eastAsia="宋体" w:cs="宋体"/>
          <w:kern w:val="0"/>
          <w:sz w:val="24"/>
          <w:szCs w:val="24"/>
        </w:rPr>
        <w:t>指合伙企业、非企业专业服务机构、个体工商户、农村承包经营户等。</w:t>
      </w:r>
    </w:p>
    <w:p w14:paraId="13A29409">
      <w:pPr>
        <w:widowControl/>
        <w:spacing w:after="150"/>
        <w:ind w:firstLine="480"/>
        <w:jc w:val="left"/>
        <w:rPr>
          <w:rFonts w:ascii="宋体" w:hAnsi="宋体" w:eastAsia="宋体" w:cs="宋体"/>
          <w:kern w:val="0"/>
          <w:sz w:val="24"/>
          <w:szCs w:val="24"/>
        </w:rPr>
      </w:pPr>
      <w:r>
        <w:rPr>
          <w:rFonts w:hint="eastAsia" w:ascii="宋体" w:hAnsi="宋体" w:eastAsia="宋体" w:cs="宋体"/>
          <w:kern w:val="0"/>
          <w:sz w:val="24"/>
          <w:szCs w:val="24"/>
        </w:rPr>
        <w:t>1.5</w:t>
      </w:r>
      <w:r>
        <w:rPr>
          <w:rFonts w:hint="eastAsia" w:ascii="宋体" w:hAnsi="宋体" w:eastAsia="宋体" w:cs="宋体"/>
          <w:b/>
          <w:bCs/>
          <w:kern w:val="0"/>
          <w:sz w:val="24"/>
          <w:szCs w:val="24"/>
        </w:rPr>
        <w:t>“自然人”</w:t>
      </w:r>
      <w:r>
        <w:rPr>
          <w:rFonts w:hint="eastAsia" w:ascii="宋体" w:hAnsi="宋体" w:eastAsia="宋体" w:cs="宋体"/>
          <w:kern w:val="0"/>
          <w:sz w:val="24"/>
          <w:szCs w:val="24"/>
        </w:rPr>
        <w:t>指具有完全民事行为能力、能够承担民事责任和义务的中国公民。</w:t>
      </w:r>
    </w:p>
    <w:p w14:paraId="776B3780">
      <w:pPr>
        <w:widowControl/>
        <w:spacing w:after="150"/>
        <w:ind w:firstLine="480"/>
        <w:jc w:val="left"/>
        <w:rPr>
          <w:rFonts w:ascii="宋体" w:hAnsi="宋体" w:eastAsia="宋体" w:cs="宋体"/>
          <w:kern w:val="0"/>
          <w:sz w:val="24"/>
          <w:szCs w:val="24"/>
        </w:rPr>
      </w:pPr>
      <w:r>
        <w:rPr>
          <w:rFonts w:hint="eastAsia" w:ascii="宋体" w:hAnsi="宋体" w:eastAsia="宋体" w:cs="宋体"/>
          <w:kern w:val="0"/>
          <w:sz w:val="24"/>
          <w:szCs w:val="24"/>
        </w:rPr>
        <w:t>2、除招标文件另有规定外，本章中</w:t>
      </w:r>
      <w:r>
        <w:rPr>
          <w:rFonts w:hint="eastAsia" w:ascii="宋体" w:hAnsi="宋体" w:eastAsia="宋体" w:cs="宋体"/>
          <w:b/>
          <w:bCs/>
          <w:kern w:val="0"/>
          <w:sz w:val="24"/>
          <w:szCs w:val="24"/>
        </w:rPr>
        <w:t>“投标人的资格及资信证明文件”</w:t>
      </w:r>
      <w:r>
        <w:rPr>
          <w:rFonts w:hint="eastAsia" w:ascii="宋体" w:hAnsi="宋体" w:eastAsia="宋体" w:cs="宋体"/>
          <w:kern w:val="0"/>
          <w:sz w:val="24"/>
          <w:szCs w:val="24"/>
        </w:rPr>
        <w:t>：</w:t>
      </w:r>
    </w:p>
    <w:p w14:paraId="44DEE80B">
      <w:pPr>
        <w:widowControl/>
        <w:spacing w:after="150"/>
        <w:ind w:firstLine="480"/>
        <w:jc w:val="left"/>
        <w:rPr>
          <w:rFonts w:ascii="宋体" w:hAnsi="宋体" w:eastAsia="宋体" w:cs="宋体"/>
          <w:kern w:val="0"/>
          <w:sz w:val="24"/>
          <w:szCs w:val="24"/>
        </w:rPr>
      </w:pPr>
      <w:r>
        <w:rPr>
          <w:rFonts w:hint="eastAsia" w:ascii="宋体" w:hAnsi="宋体" w:eastAsia="宋体" w:cs="宋体"/>
          <w:kern w:val="0"/>
          <w:sz w:val="24"/>
          <w:szCs w:val="24"/>
        </w:rPr>
        <w:t>2.1投标人应按照招标文件第四章第</w:t>
      </w:r>
      <w:r>
        <w:rPr>
          <w:rFonts w:ascii="Calibri" w:hAnsi="Calibri" w:eastAsia="宋体" w:cs="Calibri"/>
          <w:kern w:val="0"/>
          <w:sz w:val="24"/>
          <w:szCs w:val="24"/>
        </w:rPr>
        <w:t>1.3</w:t>
      </w:r>
      <w:r>
        <w:rPr>
          <w:rFonts w:hint="eastAsia" w:ascii="宋体" w:hAnsi="宋体" w:eastAsia="宋体" w:cs="宋体"/>
          <w:kern w:val="0"/>
          <w:sz w:val="24"/>
          <w:szCs w:val="24"/>
        </w:rPr>
        <w:t>条第（</w:t>
      </w:r>
      <w:r>
        <w:rPr>
          <w:rFonts w:ascii="Calibri" w:hAnsi="Calibri" w:eastAsia="宋体" w:cs="Calibri"/>
          <w:kern w:val="0"/>
          <w:sz w:val="24"/>
          <w:szCs w:val="24"/>
        </w:rPr>
        <w:t>2</w:t>
      </w:r>
      <w:r>
        <w:rPr>
          <w:rFonts w:hint="eastAsia" w:ascii="宋体" w:hAnsi="宋体" w:eastAsia="宋体" w:cs="宋体"/>
          <w:kern w:val="0"/>
          <w:sz w:val="24"/>
          <w:szCs w:val="24"/>
        </w:rPr>
        <w:t>）款规定及本章规定进行编制，如有必要，可增加附页，附页作为资格及资信文件的组成部分。</w:t>
      </w:r>
    </w:p>
    <w:p w14:paraId="595063BD">
      <w:pPr>
        <w:widowControl/>
        <w:spacing w:after="150"/>
        <w:ind w:firstLine="480"/>
        <w:jc w:val="left"/>
        <w:rPr>
          <w:rFonts w:ascii="宋体" w:hAnsi="宋体" w:eastAsia="宋体" w:cs="宋体"/>
          <w:kern w:val="0"/>
          <w:sz w:val="24"/>
          <w:szCs w:val="24"/>
        </w:rPr>
      </w:pPr>
      <w:r>
        <w:rPr>
          <w:rFonts w:hint="eastAsia" w:ascii="宋体" w:hAnsi="宋体" w:eastAsia="宋体" w:cs="宋体"/>
          <w:kern w:val="0"/>
          <w:sz w:val="24"/>
          <w:szCs w:val="24"/>
        </w:rPr>
        <w:t>2.2接受联合体投标且投标人为联合体的，联合体中的各方均应按照本章第</w:t>
      </w:r>
      <w:r>
        <w:rPr>
          <w:rFonts w:ascii="Calibri" w:hAnsi="Calibri" w:eastAsia="宋体" w:cs="Calibri"/>
          <w:kern w:val="0"/>
          <w:sz w:val="24"/>
          <w:szCs w:val="24"/>
        </w:rPr>
        <w:t>2.1</w:t>
      </w:r>
      <w:r>
        <w:rPr>
          <w:rFonts w:hint="eastAsia" w:ascii="宋体" w:hAnsi="宋体" w:eastAsia="宋体" w:cs="宋体"/>
          <w:kern w:val="0"/>
          <w:sz w:val="24"/>
          <w:szCs w:val="24"/>
        </w:rPr>
        <w:t>条规定提交相应的全部资料。</w:t>
      </w:r>
    </w:p>
    <w:p w14:paraId="11E12BD6">
      <w:pPr>
        <w:widowControl/>
        <w:spacing w:after="150"/>
        <w:ind w:firstLine="480"/>
        <w:jc w:val="left"/>
        <w:rPr>
          <w:rFonts w:ascii="宋体" w:hAnsi="宋体" w:eastAsia="宋体" w:cs="宋体"/>
          <w:kern w:val="0"/>
          <w:sz w:val="24"/>
          <w:szCs w:val="24"/>
        </w:rPr>
      </w:pPr>
      <w:r>
        <w:rPr>
          <w:rFonts w:hint="eastAsia" w:ascii="宋体" w:hAnsi="宋体" w:eastAsia="宋体" w:cs="宋体"/>
          <w:kern w:val="0"/>
          <w:sz w:val="24"/>
          <w:szCs w:val="24"/>
        </w:rPr>
        <w:t>3、投标人对投标文件的索引应编制页码。</w:t>
      </w:r>
    </w:p>
    <w:p w14:paraId="14363C62">
      <w:pPr>
        <w:widowControl/>
        <w:spacing w:after="150"/>
        <w:ind w:firstLine="480"/>
        <w:jc w:val="left"/>
        <w:rPr>
          <w:rFonts w:ascii="宋体" w:hAnsi="宋体" w:eastAsia="宋体" w:cs="宋体"/>
          <w:kern w:val="0"/>
          <w:sz w:val="24"/>
          <w:szCs w:val="24"/>
        </w:rPr>
      </w:pPr>
      <w:r>
        <w:rPr>
          <w:rFonts w:hint="eastAsia" w:ascii="宋体" w:hAnsi="宋体" w:eastAsia="宋体" w:cs="宋体"/>
          <w:kern w:val="0"/>
          <w:sz w:val="24"/>
          <w:szCs w:val="24"/>
        </w:rPr>
        <w:t>4、本章提供格式仅供参考，投标人应根据自身实际情况制作投标文件。</w:t>
      </w:r>
    </w:p>
    <w:p w14:paraId="691A2FEC">
      <w:pPr>
        <w:widowControl/>
        <w:spacing w:after="150"/>
        <w:jc w:val="left"/>
        <w:rPr>
          <w:rFonts w:ascii="宋体" w:hAnsi="宋体" w:eastAsia="宋体" w:cs="宋体"/>
          <w:kern w:val="0"/>
          <w:sz w:val="24"/>
          <w:szCs w:val="24"/>
        </w:rPr>
      </w:pPr>
      <w:r>
        <w:rPr>
          <w:rFonts w:ascii="Calibri" w:hAnsi="Calibri" w:eastAsia="宋体" w:cs="Calibri"/>
          <w:kern w:val="0"/>
          <w:szCs w:val="21"/>
        </w:rPr>
        <w:br w:type="textWrapping"/>
      </w:r>
    </w:p>
    <w:p w14:paraId="5518C5A2">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14:paraId="15DA326E">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14:paraId="75393B5D">
      <w:pPr>
        <w:widowControl/>
        <w:spacing w:after="150"/>
        <w:jc w:val="center"/>
        <w:rPr>
          <w:rFonts w:ascii="宋体" w:hAnsi="宋体" w:eastAsia="宋体" w:cs="宋体"/>
          <w:kern w:val="0"/>
          <w:sz w:val="24"/>
          <w:szCs w:val="24"/>
        </w:rPr>
      </w:pPr>
      <w:r>
        <w:rPr>
          <w:rFonts w:hint="eastAsia" w:ascii="宋体" w:hAnsi="宋体" w:eastAsia="宋体" w:cs="宋体"/>
          <w:b/>
          <w:bCs/>
          <w:kern w:val="0"/>
          <w:sz w:val="29"/>
          <w:szCs w:val="29"/>
        </w:rPr>
        <w:t>封面格式</w:t>
      </w:r>
    </w:p>
    <w:p w14:paraId="4D300AC3">
      <w:pPr>
        <w:widowControl/>
        <w:spacing w:after="150"/>
        <w:jc w:val="left"/>
        <w:rPr>
          <w:rFonts w:ascii="宋体" w:hAnsi="宋体" w:eastAsia="宋体" w:cs="宋体"/>
          <w:kern w:val="0"/>
          <w:sz w:val="24"/>
          <w:szCs w:val="24"/>
        </w:rPr>
      </w:pPr>
      <w:r>
        <w:rPr>
          <w:rFonts w:hint="eastAsia" w:ascii="宋体" w:hAnsi="宋体" w:eastAsia="宋体" w:cs="宋体"/>
          <w:kern w:val="0"/>
          <w:sz w:val="36"/>
          <w:szCs w:val="36"/>
        </w:rPr>
        <w:t> </w:t>
      </w:r>
    </w:p>
    <w:p w14:paraId="64D935D7">
      <w:pPr>
        <w:widowControl/>
        <w:spacing w:after="150"/>
        <w:jc w:val="left"/>
        <w:rPr>
          <w:rFonts w:ascii="宋体" w:hAnsi="宋体" w:eastAsia="宋体" w:cs="宋体"/>
          <w:kern w:val="0"/>
          <w:sz w:val="24"/>
          <w:szCs w:val="24"/>
        </w:rPr>
      </w:pPr>
      <w:r>
        <w:rPr>
          <w:rFonts w:hint="eastAsia" w:ascii="宋体" w:hAnsi="宋体" w:eastAsia="宋体" w:cs="宋体"/>
          <w:kern w:val="0"/>
          <w:sz w:val="36"/>
          <w:szCs w:val="36"/>
        </w:rPr>
        <w:t> </w:t>
      </w:r>
    </w:p>
    <w:p w14:paraId="586D64C6">
      <w:pPr>
        <w:widowControl/>
        <w:spacing w:after="150"/>
        <w:jc w:val="left"/>
        <w:rPr>
          <w:rFonts w:ascii="宋体" w:hAnsi="宋体" w:eastAsia="宋体" w:cs="宋体"/>
          <w:kern w:val="0"/>
          <w:sz w:val="24"/>
          <w:szCs w:val="24"/>
        </w:rPr>
      </w:pPr>
      <w:r>
        <w:rPr>
          <w:rFonts w:hint="eastAsia" w:ascii="宋体" w:hAnsi="宋体" w:eastAsia="宋体" w:cs="宋体"/>
          <w:kern w:val="0"/>
          <w:sz w:val="36"/>
          <w:szCs w:val="36"/>
        </w:rPr>
        <w:t> </w:t>
      </w:r>
    </w:p>
    <w:p w14:paraId="35B84F4D">
      <w:pPr>
        <w:widowControl/>
        <w:spacing w:after="150"/>
        <w:jc w:val="center"/>
        <w:rPr>
          <w:rFonts w:ascii="宋体" w:hAnsi="宋体" w:eastAsia="宋体" w:cs="宋体"/>
          <w:kern w:val="0"/>
          <w:sz w:val="24"/>
          <w:szCs w:val="24"/>
        </w:rPr>
      </w:pPr>
      <w:r>
        <w:rPr>
          <w:rFonts w:hint="eastAsia" w:ascii="宋体" w:hAnsi="宋体" w:eastAsia="宋体" w:cs="宋体"/>
          <w:b/>
          <w:bCs/>
          <w:kern w:val="0"/>
          <w:sz w:val="48"/>
          <w:szCs w:val="48"/>
        </w:rPr>
        <w:t>福建省政府采购投标文件</w:t>
      </w:r>
    </w:p>
    <w:p w14:paraId="64F9D22C">
      <w:pPr>
        <w:widowControl/>
        <w:spacing w:after="150"/>
        <w:jc w:val="center"/>
        <w:rPr>
          <w:rFonts w:ascii="宋体" w:hAnsi="宋体" w:eastAsia="宋体" w:cs="宋体"/>
          <w:kern w:val="0"/>
          <w:sz w:val="24"/>
          <w:szCs w:val="24"/>
        </w:rPr>
      </w:pPr>
      <w:r>
        <w:rPr>
          <w:rFonts w:hint="eastAsia" w:ascii="宋体" w:hAnsi="宋体" w:eastAsia="宋体" w:cs="宋体"/>
          <w:b/>
          <w:bCs/>
          <w:kern w:val="0"/>
          <w:sz w:val="48"/>
          <w:szCs w:val="48"/>
        </w:rPr>
        <w:t>（资格及资信证明部分）</w:t>
      </w:r>
    </w:p>
    <w:p w14:paraId="600A014D">
      <w:pPr>
        <w:widowControl/>
        <w:spacing w:after="150"/>
        <w:jc w:val="left"/>
        <w:rPr>
          <w:rFonts w:ascii="宋体" w:hAnsi="宋体" w:eastAsia="宋体" w:cs="宋体"/>
          <w:kern w:val="0"/>
          <w:sz w:val="24"/>
          <w:szCs w:val="24"/>
        </w:rPr>
      </w:pPr>
      <w:r>
        <w:rPr>
          <w:rFonts w:hint="eastAsia" w:ascii="宋体" w:hAnsi="宋体" w:eastAsia="宋体" w:cs="宋体"/>
          <w:kern w:val="0"/>
          <w:sz w:val="36"/>
          <w:szCs w:val="36"/>
        </w:rPr>
        <w:t> </w:t>
      </w:r>
    </w:p>
    <w:p w14:paraId="24803876">
      <w:pPr>
        <w:widowControl/>
        <w:spacing w:after="150"/>
        <w:jc w:val="center"/>
        <w:rPr>
          <w:rFonts w:ascii="宋体" w:hAnsi="宋体" w:eastAsia="宋体" w:cs="宋体"/>
          <w:kern w:val="0"/>
          <w:sz w:val="24"/>
          <w:szCs w:val="24"/>
        </w:rPr>
      </w:pPr>
      <w:r>
        <w:rPr>
          <w:rFonts w:hint="eastAsia" w:ascii="宋体" w:hAnsi="宋体" w:eastAsia="宋体" w:cs="宋体"/>
          <w:b/>
          <w:bCs/>
          <w:kern w:val="0"/>
          <w:sz w:val="36"/>
          <w:szCs w:val="36"/>
          <w:u w:val="single"/>
        </w:rPr>
        <w:t>（填写正本或副本）</w:t>
      </w:r>
    </w:p>
    <w:p w14:paraId="671F5508">
      <w:pPr>
        <w:widowControl/>
        <w:spacing w:after="150"/>
        <w:jc w:val="left"/>
        <w:rPr>
          <w:rFonts w:ascii="宋体" w:hAnsi="宋体" w:eastAsia="宋体" w:cs="宋体"/>
          <w:kern w:val="0"/>
          <w:sz w:val="24"/>
          <w:szCs w:val="24"/>
        </w:rPr>
      </w:pPr>
      <w:r>
        <w:rPr>
          <w:rFonts w:hint="eastAsia" w:ascii="宋体" w:hAnsi="宋体" w:eastAsia="宋体" w:cs="宋体"/>
          <w:kern w:val="0"/>
          <w:sz w:val="36"/>
          <w:szCs w:val="36"/>
        </w:rPr>
        <w:t> </w:t>
      </w:r>
    </w:p>
    <w:p w14:paraId="65B63F73">
      <w:pPr>
        <w:widowControl/>
        <w:spacing w:after="150"/>
        <w:ind w:firstLine="1920"/>
        <w:jc w:val="left"/>
        <w:rPr>
          <w:rFonts w:ascii="宋体" w:hAnsi="宋体" w:eastAsia="宋体" w:cs="宋体"/>
          <w:kern w:val="0"/>
          <w:sz w:val="24"/>
          <w:szCs w:val="24"/>
        </w:rPr>
      </w:pPr>
      <w:r>
        <w:rPr>
          <w:rFonts w:hint="eastAsia" w:ascii="宋体" w:hAnsi="宋体" w:eastAsia="宋体" w:cs="宋体"/>
          <w:b/>
          <w:bCs/>
          <w:kern w:val="0"/>
          <w:sz w:val="32"/>
          <w:szCs w:val="32"/>
        </w:rPr>
        <w:t>项目名称：</w:t>
      </w:r>
      <w:r>
        <w:rPr>
          <w:rFonts w:hint="eastAsia" w:ascii="宋体" w:hAnsi="宋体" w:eastAsia="宋体" w:cs="宋体"/>
          <w:b/>
          <w:bCs/>
          <w:kern w:val="0"/>
          <w:sz w:val="32"/>
          <w:szCs w:val="32"/>
          <w:u w:val="single"/>
        </w:rPr>
        <w:t>（由投标人填写）</w:t>
      </w:r>
    </w:p>
    <w:p w14:paraId="781D57B8">
      <w:pPr>
        <w:widowControl/>
        <w:spacing w:after="150"/>
        <w:ind w:firstLine="1920"/>
        <w:jc w:val="left"/>
        <w:rPr>
          <w:rFonts w:ascii="宋体" w:hAnsi="宋体" w:eastAsia="宋体" w:cs="宋体"/>
          <w:kern w:val="0"/>
          <w:sz w:val="24"/>
          <w:szCs w:val="24"/>
        </w:rPr>
      </w:pPr>
      <w:r>
        <w:rPr>
          <w:rFonts w:hint="eastAsia" w:ascii="宋体" w:hAnsi="宋体" w:eastAsia="宋体" w:cs="宋体"/>
          <w:b/>
          <w:bCs/>
          <w:kern w:val="0"/>
          <w:sz w:val="32"/>
          <w:szCs w:val="32"/>
        </w:rPr>
        <w:t>备案编号：</w:t>
      </w:r>
      <w:r>
        <w:rPr>
          <w:rFonts w:hint="eastAsia" w:ascii="宋体" w:hAnsi="宋体" w:eastAsia="宋体" w:cs="宋体"/>
          <w:b/>
          <w:bCs/>
          <w:kern w:val="0"/>
          <w:sz w:val="32"/>
          <w:szCs w:val="32"/>
          <w:u w:val="single"/>
        </w:rPr>
        <w:t>（由投标人填写）</w:t>
      </w:r>
    </w:p>
    <w:p w14:paraId="17EB0514">
      <w:pPr>
        <w:widowControl/>
        <w:spacing w:after="150"/>
        <w:ind w:firstLine="1920"/>
        <w:jc w:val="left"/>
        <w:rPr>
          <w:rFonts w:ascii="宋体" w:hAnsi="宋体" w:eastAsia="宋体" w:cs="宋体"/>
          <w:kern w:val="0"/>
          <w:sz w:val="24"/>
          <w:szCs w:val="24"/>
        </w:rPr>
      </w:pPr>
      <w:r>
        <w:rPr>
          <w:rFonts w:hint="eastAsia" w:ascii="宋体" w:hAnsi="宋体" w:eastAsia="宋体" w:cs="宋体"/>
          <w:b/>
          <w:bCs/>
          <w:kern w:val="0"/>
          <w:sz w:val="32"/>
          <w:szCs w:val="32"/>
        </w:rPr>
        <w:t>项目编号：</w:t>
      </w:r>
      <w:r>
        <w:rPr>
          <w:rFonts w:hint="eastAsia" w:ascii="宋体" w:hAnsi="宋体" w:eastAsia="宋体" w:cs="宋体"/>
          <w:b/>
          <w:bCs/>
          <w:kern w:val="0"/>
          <w:sz w:val="32"/>
          <w:szCs w:val="32"/>
          <w:u w:val="single"/>
        </w:rPr>
        <w:t>（由投标人填写）</w:t>
      </w:r>
    </w:p>
    <w:p w14:paraId="28C37E01">
      <w:pPr>
        <w:widowControl/>
        <w:spacing w:after="150"/>
        <w:ind w:firstLine="1920"/>
        <w:jc w:val="left"/>
        <w:rPr>
          <w:rFonts w:ascii="宋体" w:hAnsi="宋体" w:eastAsia="宋体" w:cs="宋体"/>
          <w:kern w:val="0"/>
          <w:sz w:val="24"/>
          <w:szCs w:val="24"/>
        </w:rPr>
      </w:pPr>
      <w:r>
        <w:rPr>
          <w:rFonts w:hint="eastAsia" w:ascii="宋体" w:hAnsi="宋体" w:eastAsia="宋体" w:cs="宋体"/>
          <w:b/>
          <w:bCs/>
          <w:kern w:val="0"/>
          <w:sz w:val="32"/>
          <w:szCs w:val="32"/>
        </w:rPr>
        <w:t>所投采购包：</w:t>
      </w:r>
      <w:r>
        <w:rPr>
          <w:rFonts w:hint="eastAsia" w:ascii="宋体" w:hAnsi="宋体" w:eastAsia="宋体" w:cs="宋体"/>
          <w:b/>
          <w:bCs/>
          <w:kern w:val="0"/>
          <w:sz w:val="32"/>
          <w:szCs w:val="32"/>
          <w:u w:val="single"/>
        </w:rPr>
        <w:t>（由投标人填写）</w:t>
      </w:r>
    </w:p>
    <w:p w14:paraId="3064E4B5">
      <w:pPr>
        <w:widowControl/>
        <w:spacing w:after="150"/>
        <w:jc w:val="left"/>
        <w:rPr>
          <w:rFonts w:ascii="宋体" w:hAnsi="宋体" w:eastAsia="宋体" w:cs="宋体"/>
          <w:kern w:val="0"/>
          <w:sz w:val="24"/>
          <w:szCs w:val="24"/>
        </w:rPr>
      </w:pPr>
      <w:r>
        <w:rPr>
          <w:rFonts w:hint="eastAsia" w:ascii="宋体" w:hAnsi="宋体" w:eastAsia="宋体" w:cs="宋体"/>
          <w:kern w:val="0"/>
          <w:sz w:val="36"/>
          <w:szCs w:val="36"/>
        </w:rPr>
        <w:t> </w:t>
      </w:r>
    </w:p>
    <w:p w14:paraId="62F74932">
      <w:pPr>
        <w:widowControl/>
        <w:spacing w:after="150"/>
        <w:jc w:val="left"/>
        <w:rPr>
          <w:rFonts w:ascii="宋体" w:hAnsi="宋体" w:eastAsia="宋体" w:cs="宋体"/>
          <w:kern w:val="0"/>
          <w:sz w:val="24"/>
          <w:szCs w:val="24"/>
        </w:rPr>
      </w:pPr>
      <w:r>
        <w:rPr>
          <w:rFonts w:hint="eastAsia" w:ascii="宋体" w:hAnsi="宋体" w:eastAsia="宋体" w:cs="宋体"/>
          <w:kern w:val="0"/>
          <w:sz w:val="36"/>
          <w:szCs w:val="36"/>
        </w:rPr>
        <w:t> </w:t>
      </w:r>
    </w:p>
    <w:p w14:paraId="797DAB7C">
      <w:pPr>
        <w:widowControl/>
        <w:spacing w:after="150"/>
        <w:jc w:val="left"/>
        <w:rPr>
          <w:rFonts w:ascii="宋体" w:hAnsi="宋体" w:eastAsia="宋体" w:cs="宋体"/>
          <w:kern w:val="0"/>
          <w:sz w:val="24"/>
          <w:szCs w:val="24"/>
        </w:rPr>
      </w:pPr>
      <w:r>
        <w:rPr>
          <w:rFonts w:hint="eastAsia" w:ascii="宋体" w:hAnsi="宋体" w:eastAsia="宋体" w:cs="宋体"/>
          <w:kern w:val="0"/>
          <w:sz w:val="36"/>
          <w:szCs w:val="36"/>
        </w:rPr>
        <w:t> </w:t>
      </w:r>
    </w:p>
    <w:p w14:paraId="0F009D2B">
      <w:pPr>
        <w:widowControl/>
        <w:spacing w:after="150"/>
        <w:jc w:val="left"/>
        <w:rPr>
          <w:rFonts w:ascii="宋体" w:hAnsi="宋体" w:eastAsia="宋体" w:cs="宋体"/>
          <w:kern w:val="0"/>
          <w:sz w:val="24"/>
          <w:szCs w:val="24"/>
        </w:rPr>
      </w:pPr>
      <w:r>
        <w:rPr>
          <w:rFonts w:hint="eastAsia" w:ascii="宋体" w:hAnsi="宋体" w:eastAsia="宋体" w:cs="宋体"/>
          <w:kern w:val="0"/>
          <w:sz w:val="36"/>
          <w:szCs w:val="36"/>
        </w:rPr>
        <w:t> </w:t>
      </w:r>
    </w:p>
    <w:p w14:paraId="4B801110">
      <w:pPr>
        <w:widowControl/>
        <w:spacing w:after="150"/>
        <w:jc w:val="center"/>
        <w:rPr>
          <w:rFonts w:ascii="宋体" w:hAnsi="宋体" w:eastAsia="宋体" w:cs="宋体"/>
          <w:kern w:val="0"/>
          <w:sz w:val="24"/>
          <w:szCs w:val="24"/>
        </w:rPr>
      </w:pPr>
      <w:r>
        <w:rPr>
          <w:rFonts w:hint="eastAsia" w:ascii="宋体" w:hAnsi="宋体" w:eastAsia="宋体" w:cs="宋体"/>
          <w:b/>
          <w:bCs/>
          <w:kern w:val="0"/>
          <w:sz w:val="32"/>
          <w:szCs w:val="32"/>
        </w:rPr>
        <w:t>投标人：</w:t>
      </w:r>
      <w:r>
        <w:rPr>
          <w:rFonts w:hint="eastAsia" w:ascii="宋体" w:hAnsi="宋体" w:eastAsia="宋体" w:cs="宋体"/>
          <w:b/>
          <w:bCs/>
          <w:kern w:val="0"/>
          <w:sz w:val="32"/>
          <w:szCs w:val="32"/>
          <w:u w:val="single"/>
        </w:rPr>
        <w:t>（填写“全称”）</w:t>
      </w:r>
    </w:p>
    <w:p w14:paraId="32AA9FB1">
      <w:pPr>
        <w:widowControl/>
        <w:spacing w:after="150"/>
        <w:jc w:val="center"/>
        <w:rPr>
          <w:rFonts w:ascii="宋体" w:hAnsi="宋体" w:eastAsia="宋体" w:cs="宋体"/>
          <w:kern w:val="0"/>
          <w:sz w:val="24"/>
          <w:szCs w:val="24"/>
        </w:rPr>
      </w:pPr>
      <w:r>
        <w:rPr>
          <w:rFonts w:hint="eastAsia" w:ascii="宋体" w:hAnsi="宋体" w:eastAsia="宋体" w:cs="宋体"/>
          <w:b/>
          <w:bCs/>
          <w:kern w:val="0"/>
          <w:sz w:val="32"/>
          <w:szCs w:val="32"/>
          <w:u w:val="single"/>
        </w:rPr>
        <w:t>（由投标人填写）</w:t>
      </w:r>
      <w:r>
        <w:rPr>
          <w:rFonts w:hint="eastAsia" w:ascii="宋体" w:hAnsi="宋体" w:eastAsia="宋体" w:cs="宋体"/>
          <w:b/>
          <w:bCs/>
          <w:kern w:val="0"/>
          <w:sz w:val="32"/>
          <w:szCs w:val="32"/>
        </w:rPr>
        <w:t>年</w:t>
      </w:r>
      <w:r>
        <w:rPr>
          <w:rFonts w:hint="eastAsia" w:ascii="宋体" w:hAnsi="宋体" w:eastAsia="宋体" w:cs="宋体"/>
          <w:b/>
          <w:bCs/>
          <w:kern w:val="0"/>
          <w:sz w:val="32"/>
          <w:szCs w:val="32"/>
          <w:u w:val="single"/>
        </w:rPr>
        <w:t>（由投标人填写）</w:t>
      </w:r>
      <w:r>
        <w:rPr>
          <w:rFonts w:hint="eastAsia" w:ascii="宋体" w:hAnsi="宋体" w:eastAsia="宋体" w:cs="宋体"/>
          <w:b/>
          <w:bCs/>
          <w:kern w:val="0"/>
          <w:sz w:val="32"/>
          <w:szCs w:val="32"/>
        </w:rPr>
        <w:t>月</w:t>
      </w:r>
    </w:p>
    <w:p w14:paraId="2F23BB91">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14:paraId="63C81A68">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14:paraId="7D46D02F">
      <w:pPr>
        <w:widowControl/>
        <w:spacing w:after="150"/>
        <w:jc w:val="center"/>
        <w:rPr>
          <w:rFonts w:ascii="宋体" w:hAnsi="宋体" w:eastAsia="宋体" w:cs="宋体"/>
          <w:kern w:val="0"/>
          <w:sz w:val="24"/>
          <w:szCs w:val="24"/>
        </w:rPr>
      </w:pPr>
      <w:r>
        <w:rPr>
          <w:rFonts w:ascii="Calibri" w:hAnsi="Calibri" w:eastAsia="宋体" w:cs="Calibri"/>
          <w:kern w:val="0"/>
          <w:szCs w:val="21"/>
        </w:rPr>
        <w:br w:type="textWrapping"/>
      </w:r>
      <w:r>
        <w:rPr>
          <w:rFonts w:hint="eastAsia" w:ascii="宋体" w:hAnsi="宋体" w:eastAsia="宋体" w:cs="宋体"/>
          <w:b/>
          <w:bCs/>
          <w:kern w:val="0"/>
          <w:sz w:val="29"/>
          <w:szCs w:val="29"/>
        </w:rPr>
        <w:t>索引</w:t>
      </w:r>
    </w:p>
    <w:p w14:paraId="534934CE">
      <w:pPr>
        <w:widowControl/>
        <w:spacing w:after="150"/>
        <w:jc w:val="left"/>
        <w:rPr>
          <w:rFonts w:ascii="宋体" w:hAnsi="宋体" w:eastAsia="宋体" w:cs="宋体"/>
          <w:kern w:val="0"/>
          <w:sz w:val="24"/>
          <w:szCs w:val="24"/>
        </w:rPr>
      </w:pPr>
      <w:r>
        <w:rPr>
          <w:rFonts w:hint="eastAsia" w:ascii="宋体" w:hAnsi="宋体" w:eastAsia="宋体" w:cs="宋体"/>
          <w:kern w:val="0"/>
          <w:sz w:val="29"/>
          <w:szCs w:val="29"/>
        </w:rPr>
        <w:t>一、投标函</w:t>
      </w:r>
    </w:p>
    <w:p w14:paraId="0764E20D">
      <w:pPr>
        <w:widowControl/>
        <w:spacing w:after="150"/>
        <w:jc w:val="left"/>
        <w:rPr>
          <w:rFonts w:ascii="宋体" w:hAnsi="宋体" w:eastAsia="宋体" w:cs="宋体"/>
          <w:kern w:val="0"/>
          <w:sz w:val="24"/>
          <w:szCs w:val="24"/>
        </w:rPr>
      </w:pPr>
      <w:r>
        <w:rPr>
          <w:rFonts w:hint="eastAsia" w:ascii="宋体" w:hAnsi="宋体" w:eastAsia="宋体" w:cs="宋体"/>
          <w:kern w:val="0"/>
          <w:sz w:val="29"/>
          <w:szCs w:val="29"/>
        </w:rPr>
        <w:t>二、投标人的资格及资信证明文件</w:t>
      </w:r>
    </w:p>
    <w:p w14:paraId="13D9C219">
      <w:pPr>
        <w:widowControl/>
        <w:spacing w:after="150"/>
        <w:jc w:val="left"/>
        <w:rPr>
          <w:rFonts w:ascii="宋体" w:hAnsi="宋体" w:eastAsia="宋体" w:cs="宋体"/>
          <w:kern w:val="0"/>
          <w:sz w:val="24"/>
          <w:szCs w:val="24"/>
        </w:rPr>
      </w:pPr>
      <w:r>
        <w:rPr>
          <w:rFonts w:hint="eastAsia" w:ascii="宋体" w:hAnsi="宋体" w:eastAsia="宋体" w:cs="宋体"/>
          <w:kern w:val="0"/>
          <w:sz w:val="29"/>
          <w:szCs w:val="29"/>
        </w:rPr>
        <w:t>三、投标保证金</w:t>
      </w:r>
    </w:p>
    <w:p w14:paraId="542F93A2">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14:paraId="21107ED7">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14:paraId="0AED5ABA">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14:paraId="1F8379F1">
      <w:pPr>
        <w:widowControl/>
        <w:spacing w:after="150"/>
        <w:jc w:val="center"/>
        <w:rPr>
          <w:rFonts w:ascii="宋体" w:hAnsi="宋体" w:eastAsia="宋体" w:cs="宋体"/>
          <w:kern w:val="0"/>
          <w:sz w:val="24"/>
          <w:szCs w:val="24"/>
        </w:rPr>
      </w:pPr>
      <w:r>
        <w:rPr>
          <w:rFonts w:hint="eastAsia" w:ascii="宋体" w:hAnsi="宋体" w:eastAsia="宋体" w:cs="宋体"/>
          <w:kern w:val="0"/>
          <w:szCs w:val="21"/>
        </w:rPr>
        <w:t>※注意</w:t>
      </w:r>
    </w:p>
    <w:p w14:paraId="4B1740A0">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资格及资信证明部分中不得出现报价部分的全部或部分的投标报价信息（或组成资料），否则</w:t>
      </w:r>
      <w:r>
        <w:rPr>
          <w:rFonts w:hint="eastAsia" w:ascii="宋体" w:hAnsi="宋体" w:eastAsia="宋体" w:cs="宋体"/>
          <w:b/>
          <w:bCs/>
          <w:kern w:val="0"/>
          <w:szCs w:val="21"/>
        </w:rPr>
        <w:t>资格审查不合格</w:t>
      </w:r>
      <w:r>
        <w:rPr>
          <w:rFonts w:hint="eastAsia" w:ascii="宋体" w:hAnsi="宋体" w:eastAsia="宋体" w:cs="宋体"/>
          <w:kern w:val="0"/>
          <w:szCs w:val="21"/>
        </w:rPr>
        <w:t>。（联合体协议及分包意向协议中的比例规定，不适用本条款）</w:t>
      </w:r>
    </w:p>
    <w:p w14:paraId="453EE9E2">
      <w:pPr>
        <w:widowControl/>
        <w:spacing w:after="150"/>
        <w:jc w:val="left"/>
        <w:rPr>
          <w:rFonts w:ascii="宋体" w:hAnsi="宋体" w:eastAsia="宋体" w:cs="宋体"/>
          <w:kern w:val="0"/>
          <w:sz w:val="24"/>
          <w:szCs w:val="24"/>
        </w:rPr>
      </w:pPr>
    </w:p>
    <w:p w14:paraId="2D271DD0">
      <w:pPr>
        <w:widowControl/>
        <w:spacing w:after="150"/>
        <w:jc w:val="center"/>
        <w:rPr>
          <w:rFonts w:ascii="宋体" w:hAnsi="宋体" w:eastAsia="宋体" w:cs="宋体"/>
          <w:kern w:val="0"/>
          <w:sz w:val="24"/>
          <w:szCs w:val="24"/>
        </w:rPr>
      </w:pPr>
      <w:r>
        <w:rPr>
          <w:rFonts w:ascii="Calibri" w:hAnsi="Calibri" w:eastAsia="宋体" w:cs="Calibri"/>
          <w:kern w:val="0"/>
          <w:szCs w:val="21"/>
        </w:rPr>
        <w:br w:type="textWrapping"/>
      </w:r>
      <w:r>
        <w:rPr>
          <w:rFonts w:hint="eastAsia" w:ascii="宋体" w:hAnsi="宋体" w:eastAsia="宋体" w:cs="宋体"/>
          <w:b/>
          <w:bCs/>
          <w:kern w:val="0"/>
          <w:szCs w:val="21"/>
        </w:rPr>
        <w:t>一、投标函</w:t>
      </w:r>
    </w:p>
    <w:p w14:paraId="488F2BF7">
      <w:pPr>
        <w:widowControl/>
        <w:spacing w:after="150"/>
        <w:jc w:val="left"/>
        <w:rPr>
          <w:rFonts w:ascii="宋体" w:hAnsi="宋体" w:eastAsia="宋体" w:cs="宋体"/>
          <w:kern w:val="0"/>
          <w:sz w:val="24"/>
          <w:szCs w:val="24"/>
        </w:rPr>
      </w:pPr>
      <w:r>
        <w:rPr>
          <w:rFonts w:hint="eastAsia" w:ascii="宋体" w:hAnsi="宋体" w:eastAsia="宋体" w:cs="宋体"/>
          <w:kern w:val="0"/>
          <w:szCs w:val="21"/>
        </w:rPr>
        <w:t>致：</w:t>
      </w:r>
      <w:r>
        <w:rPr>
          <w:rFonts w:hint="eastAsia" w:ascii="宋体" w:hAnsi="宋体" w:eastAsia="宋体" w:cs="宋体"/>
          <w:kern w:val="0"/>
          <w:szCs w:val="21"/>
          <w:u w:val="single"/>
        </w:rPr>
        <w:t>          （采购人或采购代理机构）</w:t>
      </w:r>
    </w:p>
    <w:p w14:paraId="39E9D4E2">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兹收到贵单位关于</w:t>
      </w:r>
      <w:r>
        <w:rPr>
          <w:rFonts w:hint="eastAsia" w:ascii="宋体" w:hAnsi="宋体" w:eastAsia="宋体" w:cs="宋体"/>
          <w:kern w:val="0"/>
          <w:szCs w:val="21"/>
          <w:u w:val="single"/>
        </w:rPr>
        <w:t>（填写“项目名称”）</w:t>
      </w:r>
      <w:r>
        <w:rPr>
          <w:rFonts w:hint="eastAsia" w:ascii="宋体" w:hAnsi="宋体" w:eastAsia="宋体" w:cs="宋体"/>
          <w:kern w:val="0"/>
          <w:szCs w:val="21"/>
        </w:rPr>
        <w:t>项目（项目编号：</w:t>
      </w:r>
      <w:r>
        <w:rPr>
          <w:rFonts w:hint="eastAsia" w:ascii="宋体" w:hAnsi="宋体" w:eastAsia="宋体" w:cs="宋体"/>
          <w:kern w:val="0"/>
          <w:szCs w:val="21"/>
          <w:u w:val="single"/>
        </w:rPr>
        <w:t>     </w:t>
      </w:r>
      <w:r>
        <w:rPr>
          <w:rFonts w:hint="eastAsia" w:ascii="宋体" w:hAnsi="宋体" w:eastAsia="宋体" w:cs="宋体"/>
          <w:kern w:val="0"/>
          <w:szCs w:val="21"/>
        </w:rPr>
        <w:t>）的投标邀请，本投标人代表</w:t>
      </w:r>
      <w:r>
        <w:rPr>
          <w:rFonts w:hint="eastAsia" w:ascii="宋体" w:hAnsi="宋体" w:eastAsia="宋体" w:cs="宋体"/>
          <w:kern w:val="0"/>
          <w:szCs w:val="21"/>
          <w:u w:val="single"/>
        </w:rPr>
        <w:t>（填写“全名”）</w:t>
      </w:r>
      <w:r>
        <w:rPr>
          <w:rFonts w:hint="eastAsia" w:ascii="宋体" w:hAnsi="宋体" w:eastAsia="宋体" w:cs="宋体"/>
          <w:kern w:val="0"/>
          <w:szCs w:val="21"/>
        </w:rPr>
        <w:t>已获得我方正式授权并代表投标人</w:t>
      </w:r>
      <w:r>
        <w:rPr>
          <w:rFonts w:hint="eastAsia" w:ascii="宋体" w:hAnsi="宋体" w:eastAsia="宋体" w:cs="宋体"/>
          <w:kern w:val="0"/>
          <w:szCs w:val="21"/>
          <w:u w:val="single"/>
        </w:rPr>
        <w:t>（填写“全称”）</w:t>
      </w:r>
      <w:r>
        <w:rPr>
          <w:rFonts w:hint="eastAsia" w:ascii="宋体" w:hAnsi="宋体" w:eastAsia="宋体" w:cs="宋体"/>
          <w:kern w:val="0"/>
          <w:szCs w:val="21"/>
        </w:rPr>
        <w:t>参加投标，并提交投标文件。我方提交的全部投标文件均由下述部分组成：</w:t>
      </w:r>
    </w:p>
    <w:p w14:paraId="6028E326">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（1）资格及资信证明部分</w:t>
      </w:r>
    </w:p>
    <w:p w14:paraId="5FCB69F6">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①投标函</w:t>
      </w:r>
    </w:p>
    <w:p w14:paraId="7B94DCCA">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②投标人的资格及资信证明文件</w:t>
      </w:r>
    </w:p>
    <w:p w14:paraId="5565A289">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③投标保证金</w:t>
      </w:r>
    </w:p>
    <w:p w14:paraId="0F215031">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（2）报价部分</w:t>
      </w:r>
    </w:p>
    <w:p w14:paraId="299D8C6C">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①开标一览表</w:t>
      </w:r>
    </w:p>
    <w:p w14:paraId="58AF1B6C">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②投标分项报价表</w:t>
      </w:r>
    </w:p>
    <w:p w14:paraId="171A2F8D">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③招标文件规定的价格扣除证明材料（若有）</w:t>
      </w:r>
    </w:p>
    <w:p w14:paraId="6E8A3E42">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④招标文件规定的加分证明材料（若有）</w:t>
      </w:r>
    </w:p>
    <w:p w14:paraId="12F8479B">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（3）技术商务部分</w:t>
      </w:r>
    </w:p>
    <w:p w14:paraId="3B1293BD">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①标的说明一览表</w:t>
      </w:r>
    </w:p>
    <w:p w14:paraId="0E1FA291">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②技术和服务要求响应表</w:t>
      </w:r>
    </w:p>
    <w:p w14:paraId="5D529C78">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③商务条件响应表</w:t>
      </w:r>
    </w:p>
    <w:p w14:paraId="66BA91D0">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④投标人提交的其他资料（若有）</w:t>
      </w:r>
    </w:p>
    <w:p w14:paraId="39204BFD">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根据本函，本投标人代表宣布我方保证遵守招标文件的全部规定，同时：</w:t>
      </w:r>
    </w:p>
    <w:p w14:paraId="58E31250">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1、</w:t>
      </w:r>
      <w:r>
        <w:rPr>
          <w:rFonts w:hint="eastAsia" w:ascii="宋体" w:hAnsi="宋体" w:eastAsia="宋体" w:cs="宋体"/>
          <w:b/>
          <w:bCs/>
          <w:kern w:val="0"/>
          <w:szCs w:val="21"/>
        </w:rPr>
        <w:t>确认：</w:t>
      </w:r>
    </w:p>
    <w:p w14:paraId="587A96BD">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1.1所投采购包的投标报价详见“开标一览表”及“投标分项报价表”。</w:t>
      </w:r>
    </w:p>
    <w:p w14:paraId="62AC2817">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1.2我方已详细审查全部招标文件</w:t>
      </w:r>
      <w:r>
        <w:rPr>
          <w:rFonts w:ascii="Calibri" w:hAnsi="Calibri" w:eastAsia="宋体" w:cs="Calibri"/>
          <w:kern w:val="0"/>
          <w:szCs w:val="21"/>
        </w:rPr>
        <w:t>[</w:t>
      </w:r>
      <w:r>
        <w:rPr>
          <w:rFonts w:hint="eastAsia" w:ascii="宋体" w:hAnsi="宋体" w:eastAsia="宋体" w:cs="宋体"/>
          <w:kern w:val="0"/>
          <w:szCs w:val="21"/>
        </w:rPr>
        <w:t>包括但不限于：有关附件（若有）、澄清或修改（若有）等</w:t>
      </w:r>
      <w:r>
        <w:rPr>
          <w:rFonts w:ascii="Calibri" w:hAnsi="Calibri" w:eastAsia="宋体" w:cs="Calibri"/>
          <w:kern w:val="0"/>
          <w:szCs w:val="21"/>
        </w:rPr>
        <w:t>]</w:t>
      </w:r>
      <w:r>
        <w:rPr>
          <w:rFonts w:hint="eastAsia" w:ascii="宋体" w:hAnsi="宋体" w:eastAsia="宋体" w:cs="宋体"/>
          <w:kern w:val="0"/>
          <w:szCs w:val="21"/>
        </w:rPr>
        <w:t>，并自行承担因对全部招标文件理解不正确或误解而产生的相应后果和责任。</w:t>
      </w:r>
    </w:p>
    <w:p w14:paraId="28BDBCF3">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2、</w:t>
      </w:r>
      <w:r>
        <w:rPr>
          <w:rFonts w:hint="eastAsia" w:ascii="宋体" w:hAnsi="宋体" w:eastAsia="宋体" w:cs="宋体"/>
          <w:b/>
          <w:bCs/>
          <w:kern w:val="0"/>
          <w:szCs w:val="21"/>
        </w:rPr>
        <w:t>承诺及声明：</w:t>
      </w:r>
    </w:p>
    <w:p w14:paraId="3D6A6701">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2.1我方具备招标文件第一章载明的“投标人的资格要求”且符合招标文件第三章载明的“二、投标人”之规定，否则</w:t>
      </w:r>
      <w:r>
        <w:rPr>
          <w:rFonts w:hint="eastAsia" w:ascii="宋体" w:hAnsi="宋体" w:eastAsia="宋体" w:cs="宋体"/>
          <w:b/>
          <w:bCs/>
          <w:kern w:val="0"/>
          <w:szCs w:val="21"/>
        </w:rPr>
        <w:t>投标无效。</w:t>
      </w:r>
    </w:p>
    <w:p w14:paraId="11DB5A58">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2.2我方提交的投标文件各组成部分的全部内容及资料是不可割离且真实、有效、准确、完整和不具有任何误导性的，否则产生不利后果由我方承担责任。</w:t>
      </w:r>
    </w:p>
    <w:p w14:paraId="21E4D597">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2.3我方提供的标的价格不高于同期市场价格，否则产生不利后果由我方承担责任。</w:t>
      </w:r>
    </w:p>
    <w:p w14:paraId="110BD2BB">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2.4投标保证金：若出现招标文件第三章规定的不予退还情形，同意贵单位不予退还。</w:t>
      </w:r>
    </w:p>
    <w:p w14:paraId="044286B7">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2.5投标有效期：按照招标文件第三章规定执行，并在招标文件第二章载明的期限内保持有效。</w:t>
      </w:r>
    </w:p>
    <w:p w14:paraId="497A73D1">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2.6若中标，将按照招标文件、我方投标文件及政府采购合同履行责任和义务。</w:t>
      </w:r>
    </w:p>
    <w:p w14:paraId="7D89EB61">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2.7若贵单位要求，我方同意提供与本项目投标有关的一切资料、数据或文件，并完全理解贵单位不一定要接受最低的投标报价或收到的任何投标。</w:t>
      </w:r>
      <w:r>
        <w:rPr>
          <w:rFonts w:hint="eastAsia" w:ascii="宋体" w:hAnsi="宋体" w:eastAsia="宋体" w:cs="宋体"/>
          <w:kern w:val="0"/>
          <w:szCs w:val="21"/>
        </w:rPr>
        <w:br w:type="textWrapping"/>
      </w:r>
      <w:r>
        <w:rPr>
          <w:rFonts w:hint="eastAsia" w:ascii="宋体" w:hAnsi="宋体" w:eastAsia="宋体" w:cs="宋体"/>
          <w:kern w:val="0"/>
          <w:szCs w:val="21"/>
        </w:rPr>
        <w:t>  2.8我方承诺投标文件所提供的全部资料真实可靠，并接受评标委员会、采购人、采购代理机构、监管部门进一步审查其中任何资料真实性的要求。</w:t>
      </w:r>
    </w:p>
    <w:p w14:paraId="779AE99D">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2.9除招标文件另有规定外，对于贵单位按照下述联络方式发出的任何信息或通知，均视为我方已收悉前述信息或通知的全部内容：</w:t>
      </w:r>
      <w:r>
        <w:rPr>
          <w:rFonts w:hint="eastAsia" w:ascii="宋体" w:hAnsi="宋体" w:eastAsia="宋体" w:cs="宋体"/>
          <w:kern w:val="0"/>
          <w:szCs w:val="21"/>
        </w:rPr>
        <w:br w:type="textWrapping"/>
      </w:r>
      <w:r>
        <w:rPr>
          <w:rFonts w:hint="eastAsia" w:ascii="宋体" w:hAnsi="宋体" w:eastAsia="宋体" w:cs="宋体"/>
          <w:kern w:val="0"/>
          <w:szCs w:val="21"/>
        </w:rPr>
        <w:t>  通信地址：                                        </w:t>
      </w:r>
      <w:r>
        <w:rPr>
          <w:rFonts w:hint="eastAsia" w:ascii="宋体" w:hAnsi="宋体" w:eastAsia="宋体" w:cs="宋体"/>
          <w:kern w:val="0"/>
          <w:szCs w:val="21"/>
        </w:rPr>
        <w:br w:type="textWrapping"/>
      </w:r>
      <w:r>
        <w:rPr>
          <w:rFonts w:hint="eastAsia" w:ascii="宋体" w:hAnsi="宋体" w:eastAsia="宋体" w:cs="宋体"/>
          <w:kern w:val="0"/>
          <w:szCs w:val="21"/>
        </w:rPr>
        <w:t>  邮编：                                           </w:t>
      </w:r>
      <w:r>
        <w:rPr>
          <w:rFonts w:hint="eastAsia" w:ascii="宋体" w:hAnsi="宋体" w:eastAsia="宋体" w:cs="宋体"/>
          <w:kern w:val="0"/>
          <w:szCs w:val="21"/>
        </w:rPr>
        <w:br w:type="textWrapping"/>
      </w:r>
      <w:r>
        <w:rPr>
          <w:rFonts w:hint="eastAsia" w:ascii="宋体" w:hAnsi="宋体" w:eastAsia="宋体" w:cs="宋体"/>
          <w:kern w:val="0"/>
          <w:szCs w:val="21"/>
        </w:rPr>
        <w:t>  联系方法：（包括但不限于：联系人、联系电话、手机、传真、电子邮箱等）</w:t>
      </w:r>
      <w:r>
        <w:rPr>
          <w:rFonts w:hint="eastAsia" w:ascii="宋体" w:hAnsi="宋体" w:eastAsia="宋体" w:cs="宋体"/>
          <w:kern w:val="0"/>
          <w:szCs w:val="21"/>
        </w:rPr>
        <w:br w:type="textWrapping"/>
      </w:r>
      <w:r>
        <w:rPr>
          <w:rFonts w:hint="eastAsia" w:ascii="宋体" w:hAnsi="宋体" w:eastAsia="宋体" w:cs="宋体"/>
          <w:kern w:val="0"/>
          <w:szCs w:val="21"/>
        </w:rPr>
        <w:t>  投标人：（全称并加盖单位公章）</w:t>
      </w:r>
      <w:r>
        <w:rPr>
          <w:rFonts w:hint="eastAsia" w:ascii="宋体" w:hAnsi="宋体" w:eastAsia="宋体" w:cs="宋体"/>
          <w:kern w:val="0"/>
          <w:szCs w:val="21"/>
        </w:rPr>
        <w:br w:type="textWrapping"/>
      </w:r>
      <w:r>
        <w:rPr>
          <w:rFonts w:hint="eastAsia" w:ascii="宋体" w:hAnsi="宋体" w:eastAsia="宋体" w:cs="宋体"/>
          <w:kern w:val="0"/>
          <w:szCs w:val="21"/>
        </w:rPr>
        <w:t>  日期：    年   月   日</w:t>
      </w:r>
    </w:p>
    <w:p w14:paraId="7CCD04EB">
      <w:pPr>
        <w:widowControl/>
        <w:spacing w:after="150"/>
        <w:jc w:val="center"/>
        <w:rPr>
          <w:rFonts w:ascii="宋体" w:hAnsi="宋体" w:eastAsia="宋体" w:cs="宋体"/>
          <w:kern w:val="0"/>
          <w:sz w:val="24"/>
          <w:szCs w:val="24"/>
        </w:rPr>
      </w:pPr>
      <w:r>
        <w:rPr>
          <w:rFonts w:ascii="Calibri" w:hAnsi="Calibri" w:eastAsia="宋体" w:cs="Calibri"/>
          <w:kern w:val="0"/>
          <w:szCs w:val="21"/>
        </w:rPr>
        <w:br w:type="textWrapping"/>
      </w:r>
      <w:r>
        <w:rPr>
          <w:rFonts w:hint="eastAsia" w:ascii="宋体" w:hAnsi="宋体" w:eastAsia="宋体" w:cs="宋体"/>
          <w:b/>
          <w:bCs/>
          <w:kern w:val="0"/>
          <w:szCs w:val="21"/>
        </w:rPr>
        <w:t>二、投标人的资格及资信证明文件</w:t>
      </w:r>
    </w:p>
    <w:p w14:paraId="27FDDAB9">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14:paraId="4EE30613">
      <w:pPr>
        <w:widowControl/>
        <w:spacing w:after="150"/>
        <w:jc w:val="center"/>
        <w:rPr>
          <w:rFonts w:ascii="宋体" w:hAnsi="宋体" w:eastAsia="宋体" w:cs="宋体"/>
          <w:kern w:val="0"/>
          <w:sz w:val="24"/>
          <w:szCs w:val="24"/>
        </w:rPr>
      </w:pPr>
      <w:r>
        <w:rPr>
          <w:rFonts w:hint="eastAsia" w:ascii="宋体" w:hAnsi="宋体" w:eastAsia="宋体" w:cs="宋体"/>
          <w:b/>
          <w:bCs/>
          <w:kern w:val="0"/>
          <w:szCs w:val="21"/>
        </w:rPr>
        <w:t>二-1单位授权书（若有）</w:t>
      </w:r>
    </w:p>
    <w:p w14:paraId="6AB61120">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14:paraId="2EC72429">
      <w:pPr>
        <w:widowControl/>
        <w:spacing w:after="150"/>
        <w:jc w:val="left"/>
        <w:rPr>
          <w:rFonts w:ascii="宋体" w:hAnsi="宋体" w:eastAsia="宋体" w:cs="宋体"/>
          <w:kern w:val="0"/>
          <w:sz w:val="24"/>
          <w:szCs w:val="24"/>
        </w:rPr>
      </w:pPr>
      <w:r>
        <w:rPr>
          <w:rFonts w:hint="eastAsia" w:ascii="宋体" w:hAnsi="宋体" w:eastAsia="宋体" w:cs="宋体"/>
          <w:kern w:val="0"/>
          <w:szCs w:val="21"/>
        </w:rPr>
        <w:t>致：</w:t>
      </w:r>
      <w:r>
        <w:rPr>
          <w:rFonts w:hint="eastAsia" w:ascii="宋体" w:hAnsi="宋体" w:eastAsia="宋体" w:cs="宋体"/>
          <w:kern w:val="0"/>
          <w:szCs w:val="21"/>
          <w:u w:val="single"/>
        </w:rPr>
        <w:t>            （采购人或采购代理机构） </w:t>
      </w:r>
    </w:p>
    <w:p w14:paraId="1459372A">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我方的单位负责人</w:t>
      </w:r>
      <w:r>
        <w:rPr>
          <w:rFonts w:hint="eastAsia" w:ascii="宋体" w:hAnsi="宋体" w:eastAsia="宋体" w:cs="宋体"/>
          <w:kern w:val="0"/>
          <w:szCs w:val="21"/>
          <w:u w:val="single"/>
        </w:rPr>
        <w:t>（填写“单位负责人全名”）</w:t>
      </w:r>
      <w:r>
        <w:rPr>
          <w:rFonts w:hint="eastAsia" w:ascii="宋体" w:hAnsi="宋体" w:eastAsia="宋体" w:cs="宋体"/>
          <w:kern w:val="0"/>
          <w:szCs w:val="21"/>
        </w:rPr>
        <w:t>授权</w:t>
      </w:r>
      <w:r>
        <w:rPr>
          <w:rFonts w:hint="eastAsia" w:ascii="宋体" w:hAnsi="宋体" w:eastAsia="宋体" w:cs="宋体"/>
          <w:kern w:val="0"/>
          <w:szCs w:val="21"/>
          <w:u w:val="single"/>
        </w:rPr>
        <w:t>（填写“投标人代表全名”）</w:t>
      </w:r>
      <w:r>
        <w:rPr>
          <w:rFonts w:hint="eastAsia" w:ascii="宋体" w:hAnsi="宋体" w:eastAsia="宋体" w:cs="宋体"/>
          <w:kern w:val="0"/>
          <w:szCs w:val="21"/>
        </w:rPr>
        <w:t>为投标人代表，代表我方参加</w:t>
      </w:r>
      <w:r>
        <w:rPr>
          <w:rFonts w:hint="eastAsia" w:ascii="宋体" w:hAnsi="宋体" w:eastAsia="宋体" w:cs="宋体"/>
          <w:kern w:val="0"/>
          <w:szCs w:val="21"/>
          <w:u w:val="single"/>
        </w:rPr>
        <w:t>（填写“项目名称”）</w:t>
      </w:r>
      <w:r>
        <w:rPr>
          <w:rFonts w:hint="eastAsia" w:ascii="宋体" w:hAnsi="宋体" w:eastAsia="宋体" w:cs="宋体"/>
          <w:kern w:val="0"/>
          <w:szCs w:val="21"/>
        </w:rPr>
        <w:t>项目（项目编号：</w:t>
      </w:r>
      <w:r>
        <w:rPr>
          <w:rFonts w:hint="eastAsia" w:ascii="宋体" w:hAnsi="宋体" w:eastAsia="宋体" w:cs="宋体"/>
          <w:kern w:val="0"/>
          <w:szCs w:val="21"/>
          <w:u w:val="single"/>
        </w:rPr>
        <w:t>         </w:t>
      </w:r>
      <w:r>
        <w:rPr>
          <w:rFonts w:hint="eastAsia" w:ascii="宋体" w:hAnsi="宋体" w:eastAsia="宋体" w:cs="宋体"/>
          <w:kern w:val="0"/>
          <w:szCs w:val="21"/>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73039623">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投标人代表无转委权。特此授权。</w:t>
      </w:r>
    </w:p>
    <w:p w14:paraId="63102EE6">
      <w:pPr>
        <w:widowControl/>
        <w:spacing w:after="150"/>
        <w:jc w:val="center"/>
        <w:rPr>
          <w:rFonts w:ascii="宋体" w:hAnsi="宋体" w:eastAsia="宋体" w:cs="宋体"/>
          <w:kern w:val="0"/>
          <w:sz w:val="24"/>
          <w:szCs w:val="24"/>
        </w:rPr>
      </w:pPr>
      <w:r>
        <w:rPr>
          <w:rFonts w:hint="eastAsia" w:ascii="宋体" w:hAnsi="宋体" w:eastAsia="宋体" w:cs="宋体"/>
          <w:kern w:val="0"/>
          <w:szCs w:val="21"/>
        </w:rPr>
        <w:t>（以下无正文）</w:t>
      </w:r>
    </w:p>
    <w:p w14:paraId="307C7737">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14:paraId="0A9B0E74">
      <w:pPr>
        <w:widowControl/>
        <w:spacing w:after="150"/>
        <w:jc w:val="left"/>
        <w:rPr>
          <w:rFonts w:ascii="宋体" w:hAnsi="宋体" w:eastAsia="宋体" w:cs="宋体"/>
          <w:kern w:val="0"/>
          <w:sz w:val="24"/>
          <w:szCs w:val="24"/>
        </w:rPr>
      </w:pPr>
      <w:r>
        <w:rPr>
          <w:rFonts w:hint="eastAsia" w:ascii="宋体" w:hAnsi="宋体" w:eastAsia="宋体" w:cs="宋体"/>
          <w:kern w:val="0"/>
          <w:szCs w:val="21"/>
        </w:rPr>
        <w:t>单位负责人：</w:t>
      </w:r>
      <w:r>
        <w:rPr>
          <w:rFonts w:hint="eastAsia" w:ascii="宋体" w:hAnsi="宋体" w:eastAsia="宋体" w:cs="宋体"/>
          <w:kern w:val="0"/>
          <w:szCs w:val="21"/>
          <w:u w:val="single"/>
        </w:rPr>
        <w:t>             </w:t>
      </w:r>
      <w:r>
        <w:rPr>
          <w:rFonts w:hint="eastAsia" w:ascii="宋体" w:hAnsi="宋体" w:eastAsia="宋体" w:cs="宋体"/>
          <w:kern w:val="0"/>
          <w:szCs w:val="21"/>
        </w:rPr>
        <w:t>身份证号：</w:t>
      </w:r>
      <w:r>
        <w:rPr>
          <w:rFonts w:hint="eastAsia" w:ascii="宋体" w:hAnsi="宋体" w:eastAsia="宋体" w:cs="宋体"/>
          <w:kern w:val="0"/>
          <w:szCs w:val="21"/>
          <w:u w:val="single"/>
        </w:rPr>
        <w:t>                        </w:t>
      </w:r>
      <w:r>
        <w:rPr>
          <w:rFonts w:hint="eastAsia" w:ascii="宋体" w:hAnsi="宋体" w:eastAsia="宋体" w:cs="宋体"/>
          <w:kern w:val="0"/>
          <w:szCs w:val="21"/>
        </w:rPr>
        <w:t>手机：</w:t>
      </w:r>
      <w:r>
        <w:rPr>
          <w:rFonts w:hint="eastAsia" w:ascii="宋体" w:hAnsi="宋体" w:eastAsia="宋体" w:cs="宋体"/>
          <w:kern w:val="0"/>
          <w:szCs w:val="21"/>
          <w:u w:val="single"/>
        </w:rPr>
        <w:t>              </w:t>
      </w:r>
    </w:p>
    <w:p w14:paraId="730E0AF2">
      <w:pPr>
        <w:widowControl/>
        <w:spacing w:after="150"/>
        <w:jc w:val="left"/>
        <w:rPr>
          <w:rFonts w:ascii="宋体" w:hAnsi="宋体" w:eastAsia="宋体" w:cs="宋体"/>
          <w:kern w:val="0"/>
          <w:sz w:val="24"/>
          <w:szCs w:val="24"/>
        </w:rPr>
      </w:pPr>
      <w:r>
        <w:rPr>
          <w:rFonts w:hint="eastAsia" w:ascii="宋体" w:hAnsi="宋体" w:eastAsia="宋体" w:cs="宋体"/>
          <w:kern w:val="0"/>
          <w:szCs w:val="21"/>
        </w:rPr>
        <w:t>投标人代表：</w:t>
      </w:r>
      <w:r>
        <w:rPr>
          <w:rFonts w:hint="eastAsia" w:ascii="宋体" w:hAnsi="宋体" w:eastAsia="宋体" w:cs="宋体"/>
          <w:kern w:val="0"/>
          <w:szCs w:val="21"/>
          <w:u w:val="single"/>
        </w:rPr>
        <w:t>             </w:t>
      </w:r>
      <w:r>
        <w:rPr>
          <w:rFonts w:hint="eastAsia" w:ascii="宋体" w:hAnsi="宋体" w:eastAsia="宋体" w:cs="宋体"/>
          <w:kern w:val="0"/>
          <w:szCs w:val="21"/>
        </w:rPr>
        <w:t>身份证号：</w:t>
      </w:r>
      <w:r>
        <w:rPr>
          <w:rFonts w:hint="eastAsia" w:ascii="宋体" w:hAnsi="宋体" w:eastAsia="宋体" w:cs="宋体"/>
          <w:kern w:val="0"/>
          <w:szCs w:val="21"/>
          <w:u w:val="single"/>
        </w:rPr>
        <w:t>                        </w:t>
      </w:r>
      <w:r>
        <w:rPr>
          <w:rFonts w:hint="eastAsia" w:ascii="宋体" w:hAnsi="宋体" w:eastAsia="宋体" w:cs="宋体"/>
          <w:kern w:val="0"/>
          <w:szCs w:val="21"/>
        </w:rPr>
        <w:t>手机：</w:t>
      </w:r>
      <w:r>
        <w:rPr>
          <w:rFonts w:hint="eastAsia" w:ascii="宋体" w:hAnsi="宋体" w:eastAsia="宋体" w:cs="宋体"/>
          <w:kern w:val="0"/>
          <w:szCs w:val="21"/>
          <w:u w:val="single"/>
        </w:rPr>
        <w:t>              </w:t>
      </w:r>
    </w:p>
    <w:p w14:paraId="4FEFF4E1">
      <w:pPr>
        <w:widowControl/>
        <w:spacing w:after="150"/>
        <w:jc w:val="left"/>
        <w:rPr>
          <w:rFonts w:ascii="宋体" w:hAnsi="宋体" w:eastAsia="宋体" w:cs="宋体"/>
          <w:kern w:val="0"/>
          <w:sz w:val="24"/>
          <w:szCs w:val="24"/>
        </w:rPr>
      </w:pPr>
      <w:r>
        <w:rPr>
          <w:rFonts w:ascii="Calibri" w:hAnsi="Calibri" w:eastAsia="宋体" w:cs="Calibri"/>
          <w:kern w:val="0"/>
          <w:szCs w:val="21"/>
        </w:rPr>
        <w:t> </w:t>
      </w:r>
    </w:p>
    <w:p w14:paraId="5EDB2D9B">
      <w:pPr>
        <w:widowControl/>
        <w:spacing w:after="150"/>
        <w:jc w:val="left"/>
        <w:rPr>
          <w:rFonts w:ascii="宋体" w:hAnsi="宋体" w:eastAsia="宋体" w:cs="宋体"/>
          <w:kern w:val="0"/>
          <w:sz w:val="24"/>
          <w:szCs w:val="24"/>
        </w:rPr>
      </w:pPr>
      <w:r>
        <w:rPr>
          <w:rFonts w:hint="eastAsia" w:ascii="宋体" w:hAnsi="宋体" w:eastAsia="宋体" w:cs="宋体"/>
          <w:kern w:val="0"/>
          <w:szCs w:val="21"/>
        </w:rPr>
        <w:t>授权方</w:t>
      </w:r>
    </w:p>
    <w:p w14:paraId="50E8BABE">
      <w:pPr>
        <w:widowControl/>
        <w:spacing w:after="150"/>
        <w:jc w:val="left"/>
        <w:rPr>
          <w:rFonts w:ascii="宋体" w:hAnsi="宋体" w:eastAsia="宋体" w:cs="宋体"/>
          <w:kern w:val="0"/>
          <w:sz w:val="24"/>
          <w:szCs w:val="24"/>
        </w:rPr>
      </w:pPr>
      <w:r>
        <w:rPr>
          <w:rFonts w:hint="eastAsia" w:ascii="宋体" w:hAnsi="宋体" w:eastAsia="宋体" w:cs="宋体"/>
          <w:kern w:val="0"/>
          <w:szCs w:val="21"/>
        </w:rPr>
        <w:t>投标人：</w:t>
      </w:r>
      <w:r>
        <w:rPr>
          <w:rFonts w:hint="eastAsia" w:ascii="宋体" w:hAnsi="宋体" w:eastAsia="宋体" w:cs="宋体"/>
          <w:kern w:val="0"/>
          <w:szCs w:val="21"/>
          <w:u w:val="single"/>
        </w:rPr>
        <w:t>（全称并加盖单位公章）</w:t>
      </w:r>
    </w:p>
    <w:p w14:paraId="4E746DB5">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14:paraId="51E38049">
      <w:pPr>
        <w:widowControl/>
        <w:spacing w:after="150"/>
        <w:jc w:val="right"/>
        <w:rPr>
          <w:rFonts w:ascii="宋体" w:hAnsi="宋体" w:eastAsia="宋体" w:cs="宋体"/>
          <w:kern w:val="0"/>
          <w:sz w:val="24"/>
          <w:szCs w:val="24"/>
        </w:rPr>
      </w:pPr>
      <w:r>
        <w:rPr>
          <w:rFonts w:hint="eastAsia" w:ascii="宋体" w:hAnsi="宋体" w:eastAsia="宋体" w:cs="宋体"/>
          <w:kern w:val="0"/>
          <w:szCs w:val="21"/>
        </w:rPr>
        <w:t>签署日期：</w:t>
      </w:r>
      <w:r>
        <w:rPr>
          <w:rFonts w:hint="eastAsia" w:ascii="宋体" w:hAnsi="宋体" w:eastAsia="宋体" w:cs="宋体"/>
          <w:kern w:val="0"/>
          <w:szCs w:val="21"/>
          <w:u w:val="single"/>
        </w:rPr>
        <w:t>    </w:t>
      </w:r>
      <w:r>
        <w:rPr>
          <w:rFonts w:hint="eastAsia" w:ascii="宋体" w:hAnsi="宋体" w:eastAsia="宋体" w:cs="宋体"/>
          <w:kern w:val="0"/>
          <w:szCs w:val="21"/>
        </w:rPr>
        <w:t>年</w:t>
      </w:r>
      <w:r>
        <w:rPr>
          <w:rFonts w:hint="eastAsia" w:ascii="宋体" w:hAnsi="宋体" w:eastAsia="宋体" w:cs="宋体"/>
          <w:kern w:val="0"/>
          <w:szCs w:val="21"/>
          <w:u w:val="single"/>
        </w:rPr>
        <w:t>   </w:t>
      </w:r>
      <w:r>
        <w:rPr>
          <w:rFonts w:hint="eastAsia" w:ascii="宋体" w:hAnsi="宋体" w:eastAsia="宋体" w:cs="宋体"/>
          <w:kern w:val="0"/>
          <w:szCs w:val="21"/>
        </w:rPr>
        <w:t>月</w:t>
      </w:r>
      <w:r>
        <w:rPr>
          <w:rFonts w:hint="eastAsia" w:ascii="宋体" w:hAnsi="宋体" w:eastAsia="宋体" w:cs="宋体"/>
          <w:kern w:val="0"/>
          <w:szCs w:val="21"/>
          <w:u w:val="single"/>
        </w:rPr>
        <w:t>   </w:t>
      </w:r>
      <w:r>
        <w:rPr>
          <w:rFonts w:hint="eastAsia" w:ascii="宋体" w:hAnsi="宋体" w:eastAsia="宋体" w:cs="宋体"/>
          <w:kern w:val="0"/>
          <w:szCs w:val="21"/>
        </w:rPr>
        <w:t>日</w:t>
      </w:r>
    </w:p>
    <w:p w14:paraId="252A44DB">
      <w:pPr>
        <w:widowControl/>
        <w:spacing w:after="150"/>
        <w:jc w:val="left"/>
        <w:rPr>
          <w:rFonts w:ascii="宋体" w:hAnsi="宋体" w:eastAsia="宋体" w:cs="宋体"/>
          <w:kern w:val="0"/>
          <w:sz w:val="24"/>
          <w:szCs w:val="24"/>
        </w:rPr>
      </w:pPr>
      <w:r>
        <w:rPr>
          <w:rFonts w:ascii="Calibri" w:hAnsi="Calibri" w:eastAsia="宋体" w:cs="Calibri"/>
          <w:kern w:val="0"/>
          <w:szCs w:val="21"/>
        </w:rPr>
        <w:t> </w:t>
      </w:r>
    </w:p>
    <w:p w14:paraId="33350267">
      <w:pPr>
        <w:widowControl/>
        <w:spacing w:after="150"/>
        <w:jc w:val="left"/>
        <w:rPr>
          <w:rFonts w:ascii="宋体" w:hAnsi="宋体" w:eastAsia="宋体" w:cs="宋体"/>
          <w:kern w:val="0"/>
          <w:sz w:val="24"/>
          <w:szCs w:val="24"/>
        </w:rPr>
      </w:pPr>
      <w:r>
        <w:rPr>
          <w:rFonts w:hint="eastAsia" w:ascii="宋体" w:hAnsi="宋体" w:eastAsia="宋体" w:cs="宋体"/>
          <w:kern w:val="0"/>
          <w:szCs w:val="21"/>
        </w:rPr>
        <w:t>附：单位负责人、投标人代表的身份证正反面复印件</w:t>
      </w:r>
    </w:p>
    <w:tbl>
      <w:tblPr>
        <w:tblStyle w:val="9"/>
        <w:tblW w:w="8520" w:type="dxa"/>
        <w:tblInd w:w="0" w:type="dxa"/>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8520"/>
      </w:tblGrid>
      <w:tr w14:paraId="7D201EAF">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852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0AA8D4B">
            <w:pPr>
              <w:widowControl/>
              <w:spacing w:after="150"/>
              <w:jc w:val="center"/>
              <w:rPr>
                <w:rFonts w:ascii="宋体" w:hAnsi="宋体" w:eastAsia="宋体" w:cs="宋体"/>
                <w:kern w:val="0"/>
                <w:sz w:val="24"/>
                <w:szCs w:val="24"/>
              </w:rPr>
            </w:pPr>
            <w:r>
              <w:rPr>
                <w:rFonts w:hint="eastAsia" w:ascii="宋体" w:hAnsi="宋体" w:eastAsia="宋体" w:cs="宋体"/>
                <w:b/>
                <w:bCs/>
                <w:kern w:val="0"/>
                <w:szCs w:val="21"/>
              </w:rPr>
              <w:t> </w:t>
            </w:r>
          </w:p>
          <w:p w14:paraId="604FB94F">
            <w:pPr>
              <w:widowControl/>
              <w:spacing w:after="150"/>
              <w:jc w:val="center"/>
              <w:rPr>
                <w:rFonts w:ascii="宋体" w:hAnsi="宋体" w:eastAsia="宋体" w:cs="宋体"/>
                <w:kern w:val="0"/>
                <w:sz w:val="24"/>
                <w:szCs w:val="24"/>
              </w:rPr>
            </w:pPr>
            <w:r>
              <w:rPr>
                <w:rFonts w:hint="eastAsia" w:ascii="宋体" w:hAnsi="宋体" w:eastAsia="宋体" w:cs="宋体"/>
                <w:b/>
                <w:bCs/>
                <w:kern w:val="0"/>
                <w:szCs w:val="21"/>
              </w:rPr>
              <w:t>要求：真实有效且内容完整、清晰、整洁。</w:t>
            </w:r>
          </w:p>
          <w:p w14:paraId="1392C564">
            <w:pPr>
              <w:widowControl/>
              <w:spacing w:after="150"/>
              <w:jc w:val="center"/>
              <w:rPr>
                <w:rFonts w:ascii="宋体" w:hAnsi="宋体" w:eastAsia="宋体" w:cs="宋体"/>
                <w:kern w:val="0"/>
                <w:sz w:val="24"/>
                <w:szCs w:val="24"/>
              </w:rPr>
            </w:pPr>
            <w:r>
              <w:rPr>
                <w:rFonts w:hint="eastAsia" w:ascii="宋体" w:hAnsi="宋体" w:eastAsia="宋体" w:cs="宋体"/>
                <w:b/>
                <w:bCs/>
                <w:kern w:val="0"/>
                <w:szCs w:val="21"/>
              </w:rPr>
              <w:t> </w:t>
            </w:r>
          </w:p>
        </w:tc>
      </w:tr>
    </w:tbl>
    <w:p w14:paraId="05FA8855">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14:paraId="29D933EE">
      <w:pPr>
        <w:widowControl/>
        <w:spacing w:after="150"/>
        <w:jc w:val="left"/>
        <w:rPr>
          <w:rFonts w:ascii="宋体" w:hAnsi="宋体" w:eastAsia="宋体" w:cs="宋体"/>
          <w:kern w:val="0"/>
          <w:sz w:val="24"/>
          <w:szCs w:val="24"/>
        </w:rPr>
      </w:pPr>
      <w:r>
        <w:rPr>
          <w:rFonts w:hint="eastAsia" w:ascii="宋体" w:hAnsi="宋体" w:eastAsia="宋体" w:cs="宋体"/>
          <w:kern w:val="0"/>
          <w:szCs w:val="21"/>
        </w:rPr>
        <w:t>※注意：</w:t>
      </w:r>
    </w:p>
    <w:p w14:paraId="013ED4EE">
      <w:pPr>
        <w:widowControl/>
        <w:spacing w:after="150"/>
        <w:jc w:val="left"/>
        <w:rPr>
          <w:rFonts w:ascii="宋体" w:hAnsi="宋体" w:eastAsia="宋体" w:cs="宋体"/>
          <w:kern w:val="0"/>
          <w:sz w:val="24"/>
          <w:szCs w:val="24"/>
        </w:rPr>
      </w:pPr>
      <w:r>
        <w:rPr>
          <w:rFonts w:hint="eastAsia" w:ascii="宋体" w:hAnsi="宋体" w:eastAsia="宋体" w:cs="宋体"/>
          <w:kern w:val="0"/>
          <w:szCs w:val="21"/>
        </w:rPr>
        <w:t>1、企业（银行、保险、石油石化、电力、电信等行业除外）、事业单位和社会团体法人的“单位负责人”指</w:t>
      </w:r>
      <w:r>
        <w:rPr>
          <w:rFonts w:hint="eastAsia" w:ascii="宋体" w:hAnsi="宋体" w:eastAsia="宋体" w:cs="宋体"/>
          <w:b/>
          <w:bCs/>
          <w:kern w:val="0"/>
          <w:szCs w:val="21"/>
        </w:rPr>
        <w:t>法定代表人</w:t>
      </w:r>
      <w:r>
        <w:rPr>
          <w:rFonts w:hint="eastAsia" w:ascii="宋体" w:hAnsi="宋体" w:eastAsia="宋体" w:cs="宋体"/>
          <w:kern w:val="0"/>
          <w:szCs w:val="21"/>
        </w:rPr>
        <w:t>，即与实际提交的“营业执照等证明文件”载明的一致。</w:t>
      </w:r>
    </w:p>
    <w:p w14:paraId="5BC67C1C">
      <w:pPr>
        <w:widowControl/>
        <w:spacing w:after="150"/>
        <w:jc w:val="left"/>
        <w:rPr>
          <w:rFonts w:ascii="宋体" w:hAnsi="宋体" w:eastAsia="宋体" w:cs="宋体"/>
          <w:kern w:val="0"/>
          <w:sz w:val="24"/>
          <w:szCs w:val="24"/>
        </w:rPr>
      </w:pPr>
      <w:r>
        <w:rPr>
          <w:rFonts w:hint="eastAsia" w:ascii="宋体" w:hAnsi="宋体" w:eastAsia="宋体" w:cs="宋体"/>
          <w:kern w:val="0"/>
          <w:szCs w:val="21"/>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40BCDD1B">
      <w:pPr>
        <w:widowControl/>
        <w:spacing w:after="150"/>
        <w:jc w:val="left"/>
        <w:rPr>
          <w:rFonts w:ascii="宋体" w:hAnsi="宋体" w:eastAsia="宋体" w:cs="宋体"/>
          <w:kern w:val="0"/>
          <w:sz w:val="24"/>
          <w:szCs w:val="24"/>
        </w:rPr>
      </w:pPr>
      <w:r>
        <w:rPr>
          <w:rFonts w:hint="eastAsia" w:ascii="宋体" w:hAnsi="宋体" w:eastAsia="宋体" w:cs="宋体"/>
          <w:kern w:val="0"/>
          <w:szCs w:val="21"/>
        </w:rPr>
        <w:t>3、投标人（自然人除外）：若投标人代表为单位授权的委托代理人，应提供本授权书；若投标人代表为单位负责人，应在此项下提交其身份证正反面复印件，可不提供本授权书。</w:t>
      </w:r>
      <w:r>
        <w:rPr>
          <w:rFonts w:hint="eastAsia" w:ascii="宋体" w:hAnsi="宋体" w:eastAsia="宋体" w:cs="宋体"/>
          <w:kern w:val="0"/>
          <w:szCs w:val="21"/>
        </w:rPr>
        <w:br w:type="textWrapping"/>
      </w:r>
      <w:r>
        <w:rPr>
          <w:rFonts w:hint="eastAsia" w:ascii="宋体" w:hAnsi="宋体" w:eastAsia="宋体" w:cs="宋体"/>
          <w:kern w:val="0"/>
          <w:szCs w:val="21"/>
        </w:rPr>
        <w:t>4、投标人为自然人的，可不填写本授权书。</w:t>
      </w:r>
      <w:r>
        <w:rPr>
          <w:rFonts w:hint="eastAsia" w:ascii="宋体" w:hAnsi="宋体" w:eastAsia="宋体" w:cs="宋体"/>
          <w:kern w:val="0"/>
          <w:szCs w:val="21"/>
        </w:rPr>
        <w:br w:type="textWrapping"/>
      </w:r>
      <w:r>
        <w:rPr>
          <w:rFonts w:hint="eastAsia" w:ascii="宋体" w:hAnsi="宋体" w:eastAsia="宋体" w:cs="宋体"/>
          <w:kern w:val="0"/>
          <w:szCs w:val="21"/>
        </w:rPr>
        <w:br w:type="textWrapping"/>
      </w:r>
    </w:p>
    <w:p w14:paraId="7DA859BC">
      <w:pPr>
        <w:widowControl/>
        <w:spacing w:after="150"/>
        <w:jc w:val="left"/>
        <w:rPr>
          <w:rFonts w:ascii="宋体" w:hAnsi="宋体" w:eastAsia="宋体" w:cs="宋体"/>
          <w:kern w:val="0"/>
          <w:sz w:val="24"/>
          <w:szCs w:val="24"/>
        </w:rPr>
      </w:pPr>
    </w:p>
    <w:p w14:paraId="350F8B92">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14:paraId="39E820A0">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14:paraId="4A38A3D8">
      <w:pPr>
        <w:widowControl/>
        <w:spacing w:after="150"/>
        <w:jc w:val="center"/>
        <w:rPr>
          <w:rFonts w:ascii="宋体" w:hAnsi="宋体" w:eastAsia="宋体" w:cs="宋体"/>
          <w:kern w:val="0"/>
          <w:sz w:val="24"/>
          <w:szCs w:val="24"/>
        </w:rPr>
      </w:pPr>
      <w:r>
        <w:rPr>
          <w:rFonts w:ascii="Calibri" w:hAnsi="Calibri" w:eastAsia="宋体" w:cs="Calibri"/>
          <w:kern w:val="0"/>
          <w:szCs w:val="21"/>
        </w:rPr>
        <w:br w:type="textWrapping"/>
      </w:r>
      <w:r>
        <w:rPr>
          <w:rFonts w:hint="eastAsia" w:ascii="宋体" w:hAnsi="宋体" w:eastAsia="宋体" w:cs="宋体"/>
          <w:b/>
          <w:bCs/>
          <w:kern w:val="0"/>
          <w:szCs w:val="21"/>
        </w:rPr>
        <w:t>二-2营业执照等证明文件</w:t>
      </w:r>
    </w:p>
    <w:p w14:paraId="320A61D9">
      <w:pPr>
        <w:widowControl/>
        <w:spacing w:after="150"/>
        <w:jc w:val="left"/>
        <w:rPr>
          <w:rFonts w:ascii="宋体" w:hAnsi="宋体" w:eastAsia="宋体" w:cs="宋体"/>
          <w:kern w:val="0"/>
          <w:sz w:val="24"/>
          <w:szCs w:val="24"/>
        </w:rPr>
      </w:pPr>
      <w:r>
        <w:rPr>
          <w:rFonts w:ascii="Calibri" w:hAnsi="Calibri" w:eastAsia="宋体" w:cs="Calibri"/>
          <w:kern w:val="0"/>
          <w:szCs w:val="21"/>
        </w:rPr>
        <w:t> </w:t>
      </w:r>
    </w:p>
    <w:p w14:paraId="251D3736">
      <w:pPr>
        <w:widowControl/>
        <w:spacing w:after="150"/>
        <w:jc w:val="left"/>
        <w:rPr>
          <w:rFonts w:ascii="宋体" w:hAnsi="宋体" w:eastAsia="宋体" w:cs="宋体"/>
          <w:kern w:val="0"/>
          <w:sz w:val="24"/>
          <w:szCs w:val="24"/>
        </w:rPr>
      </w:pPr>
      <w:r>
        <w:rPr>
          <w:rFonts w:hint="eastAsia" w:ascii="宋体" w:hAnsi="宋体" w:eastAsia="宋体" w:cs="宋体"/>
          <w:kern w:val="0"/>
          <w:szCs w:val="21"/>
        </w:rPr>
        <w:t>致：</w:t>
      </w:r>
      <w:r>
        <w:rPr>
          <w:rFonts w:hint="eastAsia" w:ascii="宋体" w:hAnsi="宋体" w:eastAsia="宋体" w:cs="宋体"/>
          <w:kern w:val="0"/>
          <w:szCs w:val="21"/>
          <w:u w:val="single"/>
        </w:rPr>
        <w:t>            （采购人或采购代理机构） </w:t>
      </w:r>
    </w:p>
    <w:p w14:paraId="7B521266">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 ）投标人为法人（包括企业、事业单位和社会团体）的</w:t>
      </w:r>
    </w:p>
    <w:p w14:paraId="73784436">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现附上由</w:t>
      </w:r>
      <w:r>
        <w:rPr>
          <w:rFonts w:hint="eastAsia" w:ascii="宋体" w:hAnsi="宋体" w:eastAsia="宋体" w:cs="宋体"/>
          <w:kern w:val="0"/>
          <w:szCs w:val="21"/>
          <w:u w:val="single"/>
        </w:rPr>
        <w:t>（填写“签发机关全称”）</w:t>
      </w:r>
      <w:r>
        <w:rPr>
          <w:rFonts w:hint="eastAsia" w:ascii="宋体" w:hAnsi="宋体" w:eastAsia="宋体" w:cs="宋体"/>
          <w:kern w:val="0"/>
          <w:szCs w:val="21"/>
        </w:rPr>
        <w:t>签发的我方统一社会信用代码</w:t>
      </w:r>
      <w:r>
        <w:rPr>
          <w:rFonts w:hint="eastAsia" w:ascii="宋体" w:hAnsi="宋体" w:eastAsia="宋体" w:cs="宋体"/>
          <w:kern w:val="0"/>
          <w:szCs w:val="21"/>
          <w:u w:val="single"/>
        </w:rPr>
        <w:t>（请填写法人的具体证照名称）</w:t>
      </w:r>
      <w:r>
        <w:rPr>
          <w:rFonts w:hint="eastAsia" w:ascii="宋体" w:hAnsi="宋体" w:eastAsia="宋体" w:cs="宋体"/>
          <w:kern w:val="0"/>
          <w:szCs w:val="21"/>
        </w:rPr>
        <w:t>复印件，该证明材料真实有效，否则我方负全部责任。</w:t>
      </w:r>
    </w:p>
    <w:p w14:paraId="5E6C91A7">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 ）投标人为非法人（包括其他组织、自然人）的</w:t>
      </w:r>
    </w:p>
    <w:p w14:paraId="5A21A454">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□现附上由</w:t>
      </w:r>
      <w:r>
        <w:rPr>
          <w:rFonts w:hint="eastAsia" w:ascii="宋体" w:hAnsi="宋体" w:eastAsia="宋体" w:cs="宋体"/>
          <w:kern w:val="0"/>
          <w:szCs w:val="21"/>
          <w:u w:val="single"/>
        </w:rPr>
        <w:t>（填写“签发机关全称”）</w:t>
      </w:r>
      <w:r>
        <w:rPr>
          <w:rFonts w:hint="eastAsia" w:ascii="宋体" w:hAnsi="宋体" w:eastAsia="宋体" w:cs="宋体"/>
          <w:kern w:val="0"/>
          <w:szCs w:val="21"/>
        </w:rPr>
        <w:t>签发的我方</w:t>
      </w:r>
      <w:r>
        <w:rPr>
          <w:rFonts w:hint="eastAsia" w:ascii="宋体" w:hAnsi="宋体" w:eastAsia="宋体" w:cs="宋体"/>
          <w:kern w:val="0"/>
          <w:szCs w:val="21"/>
          <w:u w:val="single"/>
        </w:rPr>
        <w:t>（请填写非自然人的非法人的具体证照名称）</w:t>
      </w:r>
      <w:r>
        <w:rPr>
          <w:rFonts w:hint="eastAsia" w:ascii="宋体" w:hAnsi="宋体" w:eastAsia="宋体" w:cs="宋体"/>
          <w:kern w:val="0"/>
          <w:szCs w:val="21"/>
        </w:rPr>
        <w:t>复印件，该证明材料真实有效，否则我方负全部责任。</w:t>
      </w:r>
    </w:p>
    <w:p w14:paraId="0E15C65E">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□现附上由</w:t>
      </w:r>
      <w:r>
        <w:rPr>
          <w:rFonts w:hint="eastAsia" w:ascii="宋体" w:hAnsi="宋体" w:eastAsia="宋体" w:cs="宋体"/>
          <w:kern w:val="0"/>
          <w:szCs w:val="21"/>
          <w:u w:val="single"/>
        </w:rPr>
        <w:t>（填写“签发机关全称”）</w:t>
      </w:r>
      <w:r>
        <w:rPr>
          <w:rFonts w:hint="eastAsia" w:ascii="宋体" w:hAnsi="宋体" w:eastAsia="宋体" w:cs="宋体"/>
          <w:kern w:val="0"/>
          <w:szCs w:val="21"/>
        </w:rPr>
        <w:t>签发的我方</w:t>
      </w:r>
      <w:r>
        <w:rPr>
          <w:rFonts w:hint="eastAsia" w:ascii="宋体" w:hAnsi="宋体" w:eastAsia="宋体" w:cs="宋体"/>
          <w:kern w:val="0"/>
          <w:szCs w:val="21"/>
          <w:u w:val="single"/>
        </w:rPr>
        <w:t>（请填写自然人的身份证件名称）</w:t>
      </w:r>
      <w:r>
        <w:rPr>
          <w:rFonts w:hint="eastAsia" w:ascii="宋体" w:hAnsi="宋体" w:eastAsia="宋体" w:cs="宋体"/>
          <w:kern w:val="0"/>
          <w:szCs w:val="21"/>
        </w:rPr>
        <w:t>复印件，该证明材料真实有效，否则我方负全部责任。</w:t>
      </w:r>
    </w:p>
    <w:p w14:paraId="79034499">
      <w:pPr>
        <w:widowControl/>
        <w:spacing w:after="150"/>
        <w:jc w:val="left"/>
        <w:rPr>
          <w:rFonts w:ascii="宋体" w:hAnsi="宋体" w:eastAsia="宋体" w:cs="宋体"/>
          <w:kern w:val="0"/>
          <w:sz w:val="24"/>
          <w:szCs w:val="24"/>
        </w:rPr>
      </w:pPr>
      <w:r>
        <w:rPr>
          <w:rFonts w:ascii="Calibri" w:hAnsi="Calibri" w:eastAsia="宋体" w:cs="Calibri"/>
          <w:kern w:val="0"/>
          <w:szCs w:val="21"/>
        </w:rPr>
        <w:t> </w:t>
      </w:r>
    </w:p>
    <w:p w14:paraId="45342F62">
      <w:pPr>
        <w:widowControl/>
        <w:spacing w:after="150"/>
        <w:jc w:val="left"/>
        <w:rPr>
          <w:rFonts w:ascii="宋体" w:hAnsi="宋体" w:eastAsia="宋体" w:cs="宋体"/>
          <w:kern w:val="0"/>
          <w:sz w:val="24"/>
          <w:szCs w:val="24"/>
        </w:rPr>
      </w:pPr>
      <w:r>
        <w:rPr>
          <w:rFonts w:hint="eastAsia" w:ascii="宋体" w:hAnsi="宋体" w:eastAsia="宋体" w:cs="宋体"/>
          <w:kern w:val="0"/>
          <w:szCs w:val="21"/>
        </w:rPr>
        <w:t>※注意：</w:t>
      </w:r>
    </w:p>
    <w:p w14:paraId="024782BB">
      <w:pPr>
        <w:widowControl/>
        <w:spacing w:after="150"/>
        <w:jc w:val="left"/>
        <w:rPr>
          <w:rFonts w:ascii="宋体" w:hAnsi="宋体" w:eastAsia="宋体" w:cs="宋体"/>
          <w:kern w:val="0"/>
          <w:sz w:val="24"/>
          <w:szCs w:val="24"/>
        </w:rPr>
      </w:pPr>
      <w:r>
        <w:rPr>
          <w:rFonts w:hint="eastAsia" w:ascii="宋体" w:hAnsi="宋体" w:eastAsia="宋体" w:cs="宋体"/>
          <w:kern w:val="0"/>
          <w:szCs w:val="21"/>
        </w:rPr>
        <w:t>1、请投标人按照实际情况编制填写，在相应的（）中打“√”并选择相应的“□”（若有）后，再按照本格式的要求提供相应证明材料的复印件。</w:t>
      </w:r>
    </w:p>
    <w:p w14:paraId="7A8AB737">
      <w:pPr>
        <w:widowControl/>
        <w:spacing w:after="150"/>
        <w:jc w:val="left"/>
        <w:rPr>
          <w:rFonts w:ascii="宋体" w:hAnsi="宋体" w:eastAsia="宋体" w:cs="宋体"/>
          <w:kern w:val="0"/>
          <w:sz w:val="24"/>
          <w:szCs w:val="24"/>
        </w:rPr>
      </w:pPr>
      <w:r>
        <w:rPr>
          <w:rFonts w:hint="eastAsia" w:ascii="宋体" w:hAnsi="宋体" w:eastAsia="宋体" w:cs="宋体"/>
          <w:kern w:val="0"/>
          <w:szCs w:val="21"/>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07F13CDE">
      <w:pPr>
        <w:widowControl/>
        <w:spacing w:after="150"/>
        <w:jc w:val="left"/>
        <w:rPr>
          <w:rFonts w:ascii="宋体" w:hAnsi="宋体" w:eastAsia="宋体" w:cs="宋体"/>
          <w:kern w:val="0"/>
          <w:sz w:val="24"/>
          <w:szCs w:val="24"/>
        </w:rPr>
      </w:pPr>
      <w:r>
        <w:rPr>
          <w:rFonts w:ascii="Calibri" w:hAnsi="Calibri" w:eastAsia="宋体" w:cs="Calibri"/>
          <w:kern w:val="0"/>
          <w:szCs w:val="21"/>
        </w:rPr>
        <w:t> </w:t>
      </w:r>
    </w:p>
    <w:p w14:paraId="4CA5E569">
      <w:pPr>
        <w:widowControl/>
        <w:spacing w:after="150"/>
        <w:jc w:val="left"/>
        <w:rPr>
          <w:rFonts w:ascii="宋体" w:hAnsi="宋体" w:eastAsia="宋体" w:cs="宋体"/>
          <w:kern w:val="0"/>
          <w:sz w:val="24"/>
          <w:szCs w:val="24"/>
        </w:rPr>
      </w:pPr>
      <w:r>
        <w:rPr>
          <w:rFonts w:ascii="Calibri" w:hAnsi="Calibri" w:eastAsia="宋体" w:cs="Calibri"/>
          <w:kern w:val="0"/>
          <w:szCs w:val="21"/>
        </w:rPr>
        <w:t> </w:t>
      </w:r>
    </w:p>
    <w:p w14:paraId="2EDFF757">
      <w:pPr>
        <w:widowControl/>
        <w:spacing w:after="150"/>
        <w:jc w:val="left"/>
        <w:rPr>
          <w:rFonts w:ascii="宋体" w:hAnsi="宋体" w:eastAsia="宋体" w:cs="宋体"/>
          <w:kern w:val="0"/>
          <w:sz w:val="24"/>
          <w:szCs w:val="24"/>
        </w:rPr>
      </w:pPr>
      <w:r>
        <w:rPr>
          <w:rFonts w:hint="eastAsia" w:ascii="宋体" w:hAnsi="宋体" w:eastAsia="宋体" w:cs="宋体"/>
          <w:kern w:val="0"/>
          <w:szCs w:val="21"/>
        </w:rPr>
        <w:t>投标人：</w:t>
      </w:r>
      <w:r>
        <w:rPr>
          <w:rFonts w:hint="eastAsia" w:ascii="宋体" w:hAnsi="宋体" w:eastAsia="宋体" w:cs="宋体"/>
          <w:kern w:val="0"/>
          <w:szCs w:val="21"/>
          <w:u w:val="single"/>
        </w:rPr>
        <w:t>（全称并加盖单位公章）</w:t>
      </w:r>
    </w:p>
    <w:p w14:paraId="6129491C">
      <w:pPr>
        <w:widowControl/>
        <w:spacing w:after="150"/>
        <w:jc w:val="left"/>
        <w:rPr>
          <w:rFonts w:ascii="宋体" w:hAnsi="宋体" w:eastAsia="宋体" w:cs="宋体"/>
          <w:kern w:val="0"/>
          <w:sz w:val="24"/>
          <w:szCs w:val="24"/>
        </w:rPr>
      </w:pPr>
      <w:r>
        <w:rPr>
          <w:rFonts w:hint="eastAsia" w:ascii="宋体" w:hAnsi="宋体" w:eastAsia="宋体" w:cs="宋体"/>
          <w:kern w:val="0"/>
          <w:szCs w:val="21"/>
        </w:rPr>
        <w:t>日期：</w:t>
      </w:r>
      <w:r>
        <w:rPr>
          <w:rFonts w:hint="eastAsia" w:ascii="宋体" w:hAnsi="宋体" w:eastAsia="宋体" w:cs="宋体"/>
          <w:kern w:val="0"/>
          <w:szCs w:val="21"/>
          <w:u w:val="single"/>
        </w:rPr>
        <w:t>    </w:t>
      </w:r>
      <w:r>
        <w:rPr>
          <w:rFonts w:hint="eastAsia" w:ascii="宋体" w:hAnsi="宋体" w:eastAsia="宋体" w:cs="宋体"/>
          <w:kern w:val="0"/>
          <w:szCs w:val="21"/>
        </w:rPr>
        <w:t>年</w:t>
      </w:r>
      <w:r>
        <w:rPr>
          <w:rFonts w:hint="eastAsia" w:ascii="宋体" w:hAnsi="宋体" w:eastAsia="宋体" w:cs="宋体"/>
          <w:kern w:val="0"/>
          <w:szCs w:val="21"/>
          <w:u w:val="single"/>
        </w:rPr>
        <w:t>   </w:t>
      </w:r>
      <w:r>
        <w:rPr>
          <w:rFonts w:hint="eastAsia" w:ascii="宋体" w:hAnsi="宋体" w:eastAsia="宋体" w:cs="宋体"/>
          <w:kern w:val="0"/>
          <w:szCs w:val="21"/>
        </w:rPr>
        <w:t>月</w:t>
      </w:r>
      <w:r>
        <w:rPr>
          <w:rFonts w:hint="eastAsia" w:ascii="宋体" w:hAnsi="宋体" w:eastAsia="宋体" w:cs="宋体"/>
          <w:kern w:val="0"/>
          <w:szCs w:val="21"/>
          <w:u w:val="single"/>
        </w:rPr>
        <w:t>   </w:t>
      </w:r>
      <w:r>
        <w:rPr>
          <w:rFonts w:hint="eastAsia" w:ascii="宋体" w:hAnsi="宋体" w:eastAsia="宋体" w:cs="宋体"/>
          <w:kern w:val="0"/>
          <w:szCs w:val="21"/>
        </w:rPr>
        <w:t>日</w:t>
      </w:r>
    </w:p>
    <w:p w14:paraId="1473794B">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14:paraId="49E93DE8">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14:paraId="2AABF774">
      <w:pPr>
        <w:widowControl/>
        <w:spacing w:after="150"/>
        <w:jc w:val="center"/>
        <w:rPr>
          <w:rFonts w:ascii="宋体" w:hAnsi="宋体" w:eastAsia="宋体" w:cs="宋体"/>
          <w:kern w:val="0"/>
          <w:sz w:val="24"/>
          <w:szCs w:val="24"/>
        </w:rPr>
      </w:pPr>
      <w:r>
        <w:rPr>
          <w:rFonts w:ascii="Calibri" w:hAnsi="Calibri" w:eastAsia="宋体" w:cs="Calibri"/>
          <w:kern w:val="0"/>
          <w:szCs w:val="21"/>
        </w:rPr>
        <w:br w:type="textWrapping"/>
      </w:r>
      <w:r>
        <w:rPr>
          <w:rFonts w:hint="eastAsia" w:ascii="宋体" w:hAnsi="宋体" w:eastAsia="宋体" w:cs="宋体"/>
          <w:b/>
          <w:bCs/>
          <w:kern w:val="0"/>
          <w:szCs w:val="21"/>
        </w:rPr>
        <w:t>二-3财务状况报告（财务报告、或资信证明）</w:t>
      </w:r>
    </w:p>
    <w:p w14:paraId="03AE3EA4">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14:paraId="1BFBE57A">
      <w:pPr>
        <w:widowControl/>
        <w:spacing w:after="150"/>
        <w:jc w:val="left"/>
        <w:rPr>
          <w:rFonts w:ascii="宋体" w:hAnsi="宋体" w:eastAsia="宋体" w:cs="宋体"/>
          <w:kern w:val="0"/>
          <w:sz w:val="24"/>
          <w:szCs w:val="24"/>
        </w:rPr>
      </w:pPr>
      <w:r>
        <w:rPr>
          <w:rFonts w:hint="eastAsia" w:ascii="宋体" w:hAnsi="宋体" w:eastAsia="宋体" w:cs="宋体"/>
          <w:kern w:val="0"/>
          <w:szCs w:val="21"/>
        </w:rPr>
        <w:t>致：</w:t>
      </w:r>
      <w:r>
        <w:rPr>
          <w:rFonts w:hint="eastAsia" w:ascii="宋体" w:hAnsi="宋体" w:eastAsia="宋体" w:cs="宋体"/>
          <w:kern w:val="0"/>
          <w:szCs w:val="21"/>
          <w:u w:val="single"/>
        </w:rPr>
        <w:t>           （采购人或采购代理机构） </w:t>
      </w:r>
    </w:p>
    <w:p w14:paraId="295B7B5E">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 ）投标人提供财务报告的</w:t>
      </w:r>
    </w:p>
    <w:p w14:paraId="3FDA7133">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□企业适用：现附上我方</w:t>
      </w:r>
      <w:r>
        <w:rPr>
          <w:rFonts w:hint="eastAsia" w:ascii="宋体" w:hAnsi="宋体" w:eastAsia="宋体" w:cs="宋体"/>
          <w:kern w:val="0"/>
          <w:szCs w:val="21"/>
          <w:u w:val="single"/>
        </w:rPr>
        <w:t>（填写“具体的年度、或半年度、或季度”）</w:t>
      </w:r>
      <w:r>
        <w:rPr>
          <w:rFonts w:hint="eastAsia" w:ascii="宋体" w:hAnsi="宋体" w:eastAsia="宋体" w:cs="宋体"/>
          <w:kern w:val="0"/>
          <w:szCs w:val="21"/>
        </w:rPr>
        <w:t>财务报告复印件，包括资产负债表、利润表、现金流量表、所有者权益变动表（若有）及其附注（若有）、会计师事务所营业执照和注册会计师资格证书，上述证明材料真实有效，否则我方负全部责任。</w:t>
      </w:r>
    </w:p>
    <w:p w14:paraId="7FD5A1D7">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□事业单位适用：现附上我方</w:t>
      </w:r>
      <w:r>
        <w:rPr>
          <w:rFonts w:hint="eastAsia" w:ascii="宋体" w:hAnsi="宋体" w:eastAsia="宋体" w:cs="宋体"/>
          <w:kern w:val="0"/>
          <w:szCs w:val="21"/>
          <w:u w:val="single"/>
        </w:rPr>
        <w:t>（填写“具体的年度、或半年度、或季度”）</w:t>
      </w:r>
      <w:r>
        <w:rPr>
          <w:rFonts w:hint="eastAsia" w:ascii="宋体" w:hAnsi="宋体" w:eastAsia="宋体" w:cs="宋体"/>
          <w:kern w:val="0"/>
          <w:szCs w:val="21"/>
        </w:rPr>
        <w:t>财务报告复印件，包括资产负债表、收入支出表（或收入费用表）、财政补助收入支出表（若有）、会计师事务所营业执照和注册会计师资格证书，上述证明材料真实有效，否则我方负全部责任。</w:t>
      </w:r>
    </w:p>
    <w:p w14:paraId="38DBFEB5">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□社会团体、民办非企适用：现附上我方</w:t>
      </w:r>
      <w:r>
        <w:rPr>
          <w:rFonts w:hint="eastAsia" w:ascii="宋体" w:hAnsi="宋体" w:eastAsia="宋体" w:cs="宋体"/>
          <w:kern w:val="0"/>
          <w:szCs w:val="21"/>
          <w:u w:val="single"/>
        </w:rPr>
        <w:t>（填写“具体的年度、或半年度、或季度”）</w:t>
      </w:r>
      <w:r>
        <w:rPr>
          <w:rFonts w:hint="eastAsia" w:ascii="宋体" w:hAnsi="宋体" w:eastAsia="宋体" w:cs="宋体"/>
          <w:kern w:val="0"/>
          <w:szCs w:val="21"/>
        </w:rPr>
        <w:t>财务报告复印件，包括资产负债表、业务活动表、现金流量表、会计师事务所营业执照和注册会计师资格证书，上述证明材料真实有效，否则我方负全部责任。</w:t>
      </w:r>
    </w:p>
    <w:p w14:paraId="7C4BA565">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 ）投标人提供资信证明的</w:t>
      </w:r>
    </w:p>
    <w:p w14:paraId="287BBDC3">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□非自然人适用（包括企业、事业单位、社会团体和其他组织）：现附上我方银行：（填写“开户银行全称”）出具的资信证明复印件，上述证明材料真实有效，否则我方负全部责任。</w:t>
      </w:r>
    </w:p>
    <w:p w14:paraId="013311E4">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□自然人适用：现附上我方银行：</w:t>
      </w:r>
      <w:r>
        <w:rPr>
          <w:rFonts w:hint="eastAsia" w:ascii="宋体" w:hAnsi="宋体" w:eastAsia="宋体" w:cs="宋体"/>
          <w:kern w:val="0"/>
          <w:szCs w:val="21"/>
          <w:u w:val="single"/>
        </w:rPr>
        <w:t>（填写自然人的“个人账户的开户银行全称”）</w:t>
      </w:r>
      <w:r>
        <w:rPr>
          <w:rFonts w:hint="eastAsia" w:ascii="宋体" w:hAnsi="宋体" w:eastAsia="宋体" w:cs="宋体"/>
          <w:kern w:val="0"/>
          <w:szCs w:val="21"/>
        </w:rPr>
        <w:t>出具的资信证明复印件，上述证明材料真实有效，否则我方负全部责任。</w:t>
      </w:r>
    </w:p>
    <w:p w14:paraId="2C9FF996">
      <w:pPr>
        <w:widowControl/>
        <w:spacing w:after="150"/>
        <w:jc w:val="left"/>
        <w:rPr>
          <w:rFonts w:ascii="宋体" w:hAnsi="宋体" w:eastAsia="宋体" w:cs="宋体"/>
          <w:kern w:val="0"/>
          <w:sz w:val="24"/>
          <w:szCs w:val="24"/>
        </w:rPr>
      </w:pPr>
      <w:r>
        <w:rPr>
          <w:rFonts w:ascii="Calibri" w:hAnsi="Calibri" w:eastAsia="宋体" w:cs="Calibri"/>
          <w:kern w:val="0"/>
          <w:szCs w:val="21"/>
        </w:rPr>
        <w:t> </w:t>
      </w:r>
    </w:p>
    <w:p w14:paraId="310A7C38">
      <w:pPr>
        <w:widowControl/>
        <w:spacing w:after="150"/>
        <w:jc w:val="left"/>
        <w:rPr>
          <w:rFonts w:ascii="宋体" w:hAnsi="宋体" w:eastAsia="宋体" w:cs="宋体"/>
          <w:kern w:val="0"/>
          <w:sz w:val="24"/>
          <w:szCs w:val="24"/>
        </w:rPr>
      </w:pPr>
      <w:r>
        <w:rPr>
          <w:rFonts w:hint="eastAsia" w:ascii="宋体" w:hAnsi="宋体" w:eastAsia="宋体" w:cs="宋体"/>
          <w:kern w:val="0"/>
          <w:szCs w:val="21"/>
        </w:rPr>
        <w:t>※注意：</w:t>
      </w:r>
    </w:p>
    <w:p w14:paraId="48C56039">
      <w:pPr>
        <w:widowControl/>
        <w:spacing w:after="150"/>
        <w:jc w:val="left"/>
        <w:rPr>
          <w:rFonts w:ascii="宋体" w:hAnsi="宋体" w:eastAsia="宋体" w:cs="宋体"/>
          <w:kern w:val="0"/>
          <w:sz w:val="24"/>
          <w:szCs w:val="24"/>
        </w:rPr>
      </w:pPr>
      <w:r>
        <w:rPr>
          <w:rFonts w:hint="eastAsia" w:ascii="宋体" w:hAnsi="宋体" w:eastAsia="宋体" w:cs="宋体"/>
          <w:kern w:val="0"/>
          <w:szCs w:val="21"/>
        </w:rPr>
        <w:t>1、请投标人按照实际情况编制填写，在相应的（）中打“√”并选择相应的“□”（若有）后，再按照本格式的要求提供相应证明材料的复印件。</w:t>
      </w:r>
    </w:p>
    <w:p w14:paraId="63612826">
      <w:pPr>
        <w:widowControl/>
        <w:spacing w:after="150"/>
        <w:jc w:val="left"/>
        <w:rPr>
          <w:rFonts w:ascii="宋体" w:hAnsi="宋体" w:eastAsia="宋体" w:cs="宋体"/>
          <w:kern w:val="0"/>
          <w:sz w:val="24"/>
          <w:szCs w:val="24"/>
        </w:rPr>
      </w:pPr>
      <w:r>
        <w:rPr>
          <w:rFonts w:hint="eastAsia" w:ascii="宋体" w:hAnsi="宋体" w:eastAsia="宋体" w:cs="宋体"/>
          <w:kern w:val="0"/>
          <w:szCs w:val="21"/>
        </w:rPr>
        <w:t>2、投标人提供的财务报告复印件（成立年限按照投标截止时间推算）应符合下列规定：</w:t>
      </w:r>
    </w:p>
    <w:p w14:paraId="7B9888FC">
      <w:pPr>
        <w:widowControl/>
        <w:spacing w:after="150"/>
        <w:jc w:val="left"/>
        <w:rPr>
          <w:rFonts w:ascii="宋体" w:hAnsi="宋体" w:eastAsia="宋体" w:cs="宋体"/>
          <w:kern w:val="0"/>
          <w:sz w:val="24"/>
          <w:szCs w:val="24"/>
        </w:rPr>
      </w:pPr>
      <w:r>
        <w:rPr>
          <w:rFonts w:hint="eastAsia" w:ascii="宋体" w:hAnsi="宋体" w:eastAsia="宋体" w:cs="宋体"/>
          <w:kern w:val="0"/>
          <w:szCs w:val="21"/>
        </w:rPr>
        <w:t>2.1成立年限满</w:t>
      </w:r>
      <w:r>
        <w:rPr>
          <w:rFonts w:ascii="Calibri" w:hAnsi="Calibri" w:eastAsia="宋体" w:cs="Calibri"/>
          <w:kern w:val="0"/>
          <w:szCs w:val="21"/>
        </w:rPr>
        <w:t>1</w:t>
      </w:r>
      <w:r>
        <w:rPr>
          <w:rFonts w:hint="eastAsia" w:ascii="宋体" w:hAnsi="宋体" w:eastAsia="宋体" w:cs="宋体"/>
          <w:kern w:val="0"/>
          <w:szCs w:val="21"/>
        </w:rPr>
        <w:t>年及以上的投标人，提供经审计的招标文件规定的年度财务报告。</w:t>
      </w:r>
    </w:p>
    <w:p w14:paraId="360AF788">
      <w:pPr>
        <w:widowControl/>
        <w:spacing w:after="150"/>
        <w:jc w:val="left"/>
        <w:rPr>
          <w:rFonts w:ascii="宋体" w:hAnsi="宋体" w:eastAsia="宋体" w:cs="宋体"/>
          <w:kern w:val="0"/>
          <w:sz w:val="24"/>
          <w:szCs w:val="24"/>
        </w:rPr>
      </w:pPr>
      <w:r>
        <w:rPr>
          <w:rFonts w:hint="eastAsia" w:ascii="宋体" w:hAnsi="宋体" w:eastAsia="宋体" w:cs="宋体"/>
          <w:kern w:val="0"/>
          <w:szCs w:val="21"/>
        </w:rPr>
        <w:t>2.2成立年限满半年但不足</w:t>
      </w:r>
      <w:r>
        <w:rPr>
          <w:rFonts w:ascii="Calibri" w:hAnsi="Calibri" w:eastAsia="宋体" w:cs="Calibri"/>
          <w:kern w:val="0"/>
          <w:szCs w:val="21"/>
        </w:rPr>
        <w:t>1</w:t>
      </w:r>
      <w:r>
        <w:rPr>
          <w:rFonts w:hint="eastAsia" w:ascii="宋体" w:hAnsi="宋体" w:eastAsia="宋体" w:cs="宋体"/>
          <w:kern w:val="0"/>
          <w:szCs w:val="21"/>
        </w:rPr>
        <w:t>年的投标人，提供该半年度中任一季度的季度财务报告或该半年度的半年度财务报告。</w:t>
      </w:r>
    </w:p>
    <w:p w14:paraId="7E69FD19">
      <w:pPr>
        <w:widowControl/>
        <w:spacing w:after="150"/>
        <w:jc w:val="left"/>
        <w:rPr>
          <w:rFonts w:ascii="宋体" w:hAnsi="宋体" w:eastAsia="宋体" w:cs="宋体"/>
          <w:kern w:val="0"/>
          <w:sz w:val="24"/>
          <w:szCs w:val="24"/>
        </w:rPr>
      </w:pPr>
      <w:r>
        <w:rPr>
          <w:rFonts w:hint="eastAsia" w:ascii="宋体" w:hAnsi="宋体" w:eastAsia="宋体" w:cs="宋体"/>
          <w:b/>
          <w:bCs/>
          <w:kern w:val="0"/>
          <w:sz w:val="24"/>
          <w:szCs w:val="24"/>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15BE78C2">
      <w:pPr>
        <w:widowControl/>
        <w:spacing w:after="150"/>
        <w:jc w:val="left"/>
        <w:rPr>
          <w:rFonts w:ascii="宋体" w:hAnsi="宋体" w:eastAsia="宋体" w:cs="宋体"/>
          <w:kern w:val="0"/>
          <w:sz w:val="24"/>
          <w:szCs w:val="24"/>
        </w:rPr>
      </w:pPr>
      <w:r>
        <w:rPr>
          <w:rFonts w:ascii="宋体" w:hAnsi="宋体" w:eastAsia="宋体" w:cs="宋体"/>
          <w:kern w:val="0"/>
          <w:sz w:val="24"/>
          <w:szCs w:val="24"/>
        </w:rPr>
        <w:br w:type="textWrapping"/>
      </w:r>
    </w:p>
    <w:p w14:paraId="319D083E">
      <w:pPr>
        <w:widowControl/>
        <w:spacing w:after="150"/>
        <w:jc w:val="left"/>
        <w:rPr>
          <w:rFonts w:ascii="宋体" w:hAnsi="宋体" w:eastAsia="宋体" w:cs="宋体"/>
          <w:kern w:val="0"/>
          <w:sz w:val="24"/>
          <w:szCs w:val="24"/>
        </w:rPr>
      </w:pPr>
      <w:r>
        <w:rPr>
          <w:rFonts w:ascii="Calibri" w:hAnsi="Calibri" w:eastAsia="宋体" w:cs="Calibri"/>
          <w:kern w:val="0"/>
          <w:szCs w:val="21"/>
        </w:rPr>
        <w:t> </w:t>
      </w:r>
    </w:p>
    <w:p w14:paraId="2E4CDBB8">
      <w:pPr>
        <w:widowControl/>
        <w:spacing w:after="150"/>
        <w:jc w:val="left"/>
        <w:rPr>
          <w:rFonts w:ascii="宋体" w:hAnsi="宋体" w:eastAsia="宋体" w:cs="宋体"/>
          <w:kern w:val="0"/>
          <w:sz w:val="24"/>
          <w:szCs w:val="24"/>
        </w:rPr>
      </w:pPr>
      <w:r>
        <w:rPr>
          <w:rFonts w:hint="eastAsia" w:ascii="宋体" w:hAnsi="宋体" w:eastAsia="宋体" w:cs="宋体"/>
          <w:kern w:val="0"/>
          <w:szCs w:val="21"/>
        </w:rPr>
        <w:t>投标人：</w:t>
      </w:r>
      <w:r>
        <w:rPr>
          <w:rFonts w:hint="eastAsia" w:ascii="宋体" w:hAnsi="宋体" w:eastAsia="宋体" w:cs="宋体"/>
          <w:kern w:val="0"/>
          <w:szCs w:val="21"/>
          <w:u w:val="single"/>
        </w:rPr>
        <w:t>（全称并加盖单位公章）</w:t>
      </w:r>
    </w:p>
    <w:p w14:paraId="415A6C72">
      <w:pPr>
        <w:widowControl/>
        <w:spacing w:after="150"/>
        <w:jc w:val="left"/>
        <w:rPr>
          <w:rFonts w:ascii="宋体" w:hAnsi="宋体" w:eastAsia="宋体" w:cs="宋体"/>
          <w:kern w:val="0"/>
          <w:sz w:val="24"/>
          <w:szCs w:val="24"/>
        </w:rPr>
      </w:pPr>
      <w:r>
        <w:rPr>
          <w:rFonts w:hint="eastAsia" w:ascii="宋体" w:hAnsi="宋体" w:eastAsia="宋体" w:cs="宋体"/>
          <w:kern w:val="0"/>
          <w:szCs w:val="21"/>
        </w:rPr>
        <w:t>日期：</w:t>
      </w:r>
      <w:r>
        <w:rPr>
          <w:rFonts w:hint="eastAsia" w:ascii="宋体" w:hAnsi="宋体" w:eastAsia="宋体" w:cs="宋体"/>
          <w:kern w:val="0"/>
          <w:szCs w:val="21"/>
          <w:u w:val="single"/>
        </w:rPr>
        <w:t>    </w:t>
      </w:r>
      <w:r>
        <w:rPr>
          <w:rFonts w:hint="eastAsia" w:ascii="宋体" w:hAnsi="宋体" w:eastAsia="宋体" w:cs="宋体"/>
          <w:kern w:val="0"/>
          <w:szCs w:val="21"/>
        </w:rPr>
        <w:t>年</w:t>
      </w:r>
      <w:r>
        <w:rPr>
          <w:rFonts w:hint="eastAsia" w:ascii="宋体" w:hAnsi="宋体" w:eastAsia="宋体" w:cs="宋体"/>
          <w:kern w:val="0"/>
          <w:szCs w:val="21"/>
          <w:u w:val="single"/>
        </w:rPr>
        <w:t>   </w:t>
      </w:r>
      <w:r>
        <w:rPr>
          <w:rFonts w:hint="eastAsia" w:ascii="宋体" w:hAnsi="宋体" w:eastAsia="宋体" w:cs="宋体"/>
          <w:kern w:val="0"/>
          <w:szCs w:val="21"/>
        </w:rPr>
        <w:t>月</w:t>
      </w:r>
      <w:r>
        <w:rPr>
          <w:rFonts w:hint="eastAsia" w:ascii="宋体" w:hAnsi="宋体" w:eastAsia="宋体" w:cs="宋体"/>
          <w:kern w:val="0"/>
          <w:szCs w:val="21"/>
          <w:u w:val="single"/>
        </w:rPr>
        <w:t>   </w:t>
      </w:r>
      <w:r>
        <w:rPr>
          <w:rFonts w:hint="eastAsia" w:ascii="宋体" w:hAnsi="宋体" w:eastAsia="宋体" w:cs="宋体"/>
          <w:kern w:val="0"/>
          <w:szCs w:val="21"/>
        </w:rPr>
        <w:t>日</w:t>
      </w:r>
    </w:p>
    <w:p w14:paraId="18EBE5B8">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14:paraId="59F674C9">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14:paraId="35AFE2CA">
      <w:pPr>
        <w:widowControl/>
        <w:spacing w:after="150"/>
        <w:jc w:val="center"/>
        <w:rPr>
          <w:rFonts w:ascii="宋体" w:hAnsi="宋体" w:eastAsia="宋体" w:cs="宋体"/>
          <w:kern w:val="0"/>
          <w:sz w:val="24"/>
          <w:szCs w:val="24"/>
        </w:rPr>
      </w:pPr>
      <w:r>
        <w:rPr>
          <w:rFonts w:ascii="Calibri" w:hAnsi="Calibri" w:eastAsia="宋体" w:cs="Calibri"/>
          <w:kern w:val="0"/>
          <w:szCs w:val="21"/>
        </w:rPr>
        <w:br w:type="textWrapping"/>
      </w:r>
      <w:r>
        <w:rPr>
          <w:rFonts w:hint="eastAsia" w:ascii="宋体" w:hAnsi="宋体" w:eastAsia="宋体" w:cs="宋体"/>
          <w:kern w:val="0"/>
          <w:szCs w:val="21"/>
        </w:rPr>
        <w:t>二</w:t>
      </w:r>
      <w:r>
        <w:rPr>
          <w:rFonts w:hint="eastAsia" w:ascii="宋体" w:hAnsi="宋体" w:eastAsia="宋体" w:cs="宋体"/>
          <w:b/>
          <w:bCs/>
          <w:kern w:val="0"/>
          <w:szCs w:val="21"/>
        </w:rPr>
        <w:t>-4依法缴纳税收证明材料</w:t>
      </w:r>
    </w:p>
    <w:p w14:paraId="78F39D93">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14:paraId="76026856">
      <w:pPr>
        <w:widowControl/>
        <w:spacing w:after="150"/>
        <w:jc w:val="left"/>
        <w:rPr>
          <w:rFonts w:ascii="宋体" w:hAnsi="宋体" w:eastAsia="宋体" w:cs="宋体"/>
          <w:kern w:val="0"/>
          <w:sz w:val="24"/>
          <w:szCs w:val="24"/>
        </w:rPr>
      </w:pPr>
      <w:r>
        <w:rPr>
          <w:rFonts w:hint="eastAsia" w:ascii="宋体" w:hAnsi="宋体" w:eastAsia="宋体" w:cs="宋体"/>
          <w:kern w:val="0"/>
          <w:szCs w:val="21"/>
        </w:rPr>
        <w:t>致：</w:t>
      </w:r>
      <w:r>
        <w:rPr>
          <w:rFonts w:hint="eastAsia" w:ascii="宋体" w:hAnsi="宋体" w:eastAsia="宋体" w:cs="宋体"/>
          <w:kern w:val="0"/>
          <w:szCs w:val="21"/>
          <w:u w:val="single"/>
        </w:rPr>
        <w:t>            （采购人或采购代理机构） </w:t>
      </w:r>
    </w:p>
    <w:p w14:paraId="7D15D426">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1、依法缴纳税收的投标人</w:t>
      </w:r>
    </w:p>
    <w:p w14:paraId="606BD732">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 ）法人（包括企业、事业单位和社会团体）的</w:t>
      </w:r>
    </w:p>
    <w:p w14:paraId="6319E6DA">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现附上自</w:t>
      </w:r>
      <w:r>
        <w:rPr>
          <w:rFonts w:hint="eastAsia" w:ascii="宋体" w:hAnsi="宋体" w:eastAsia="宋体" w:cs="宋体"/>
          <w:kern w:val="0"/>
          <w:szCs w:val="21"/>
          <w:u w:val="single"/>
        </w:rPr>
        <w:t>    </w:t>
      </w:r>
      <w:r>
        <w:rPr>
          <w:rFonts w:hint="eastAsia" w:ascii="宋体" w:hAnsi="宋体" w:eastAsia="宋体" w:cs="宋体"/>
          <w:kern w:val="0"/>
          <w:szCs w:val="21"/>
        </w:rPr>
        <w:t>年</w:t>
      </w:r>
      <w:r>
        <w:rPr>
          <w:rFonts w:hint="eastAsia" w:ascii="宋体" w:hAnsi="宋体" w:eastAsia="宋体" w:cs="宋体"/>
          <w:kern w:val="0"/>
          <w:szCs w:val="21"/>
          <w:u w:val="single"/>
        </w:rPr>
        <w:t>   </w:t>
      </w:r>
      <w:r>
        <w:rPr>
          <w:rFonts w:hint="eastAsia" w:ascii="宋体" w:hAnsi="宋体" w:eastAsia="宋体" w:cs="宋体"/>
          <w:kern w:val="0"/>
          <w:szCs w:val="21"/>
        </w:rPr>
        <w:t>月</w:t>
      </w:r>
      <w:r>
        <w:rPr>
          <w:rFonts w:hint="eastAsia" w:ascii="宋体" w:hAnsi="宋体" w:eastAsia="宋体" w:cs="宋体"/>
          <w:kern w:val="0"/>
          <w:szCs w:val="21"/>
          <w:u w:val="single"/>
        </w:rPr>
        <w:t>   </w:t>
      </w:r>
      <w:r>
        <w:rPr>
          <w:rFonts w:hint="eastAsia" w:ascii="宋体" w:hAnsi="宋体" w:eastAsia="宋体" w:cs="宋体"/>
          <w:kern w:val="0"/>
          <w:szCs w:val="21"/>
        </w:rPr>
        <w:t>日至</w:t>
      </w:r>
      <w:r>
        <w:rPr>
          <w:rFonts w:hint="eastAsia" w:ascii="宋体" w:hAnsi="宋体" w:eastAsia="宋体" w:cs="宋体"/>
          <w:kern w:val="0"/>
          <w:szCs w:val="21"/>
          <w:u w:val="single"/>
        </w:rPr>
        <w:t>    </w:t>
      </w:r>
      <w:r>
        <w:rPr>
          <w:rFonts w:hint="eastAsia" w:ascii="宋体" w:hAnsi="宋体" w:eastAsia="宋体" w:cs="宋体"/>
          <w:kern w:val="0"/>
          <w:szCs w:val="21"/>
        </w:rPr>
        <w:t>年</w:t>
      </w:r>
      <w:r>
        <w:rPr>
          <w:rFonts w:hint="eastAsia" w:ascii="宋体" w:hAnsi="宋体" w:eastAsia="宋体" w:cs="宋体"/>
          <w:kern w:val="0"/>
          <w:szCs w:val="21"/>
          <w:u w:val="single"/>
        </w:rPr>
        <w:t>   </w:t>
      </w:r>
      <w:r>
        <w:rPr>
          <w:rFonts w:hint="eastAsia" w:ascii="宋体" w:hAnsi="宋体" w:eastAsia="宋体" w:cs="宋体"/>
          <w:kern w:val="0"/>
          <w:szCs w:val="21"/>
        </w:rPr>
        <w:t>月</w:t>
      </w:r>
      <w:r>
        <w:rPr>
          <w:rFonts w:hint="eastAsia" w:ascii="宋体" w:hAnsi="宋体" w:eastAsia="宋体" w:cs="宋体"/>
          <w:kern w:val="0"/>
          <w:szCs w:val="21"/>
          <w:u w:val="single"/>
        </w:rPr>
        <w:t>   </w:t>
      </w:r>
      <w:r>
        <w:rPr>
          <w:rFonts w:hint="eastAsia" w:ascii="宋体" w:hAnsi="宋体" w:eastAsia="宋体" w:cs="宋体"/>
          <w:kern w:val="0"/>
          <w:szCs w:val="21"/>
        </w:rPr>
        <w:t>日期间我方缴纳</w:t>
      </w:r>
      <w:r>
        <w:rPr>
          <w:rFonts w:hint="eastAsia" w:ascii="宋体" w:hAnsi="宋体" w:eastAsia="宋体" w:cs="宋体"/>
          <w:kern w:val="0"/>
          <w:szCs w:val="21"/>
          <w:u w:val="single"/>
        </w:rPr>
        <w:t>（包括但不限于税务机关出具的专用收据、税收缴纳证明或税收代缴银行的缴款收讫凭证）等</w:t>
      </w:r>
      <w:r>
        <w:rPr>
          <w:rFonts w:hint="eastAsia" w:ascii="宋体" w:hAnsi="宋体" w:eastAsia="宋体" w:cs="宋体"/>
          <w:kern w:val="0"/>
          <w:szCs w:val="21"/>
        </w:rPr>
        <w:t>税收凭据复印件，上述证明材料真实有效，否则我方负全部责任。</w:t>
      </w:r>
    </w:p>
    <w:p w14:paraId="386BB148">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 ）非法人（包括其他组织、自然人）的</w:t>
      </w:r>
    </w:p>
    <w:p w14:paraId="49BF8ED0">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现附上自</w:t>
      </w:r>
      <w:r>
        <w:rPr>
          <w:rFonts w:hint="eastAsia" w:ascii="宋体" w:hAnsi="宋体" w:eastAsia="宋体" w:cs="宋体"/>
          <w:kern w:val="0"/>
          <w:szCs w:val="21"/>
          <w:u w:val="single"/>
        </w:rPr>
        <w:t>    </w:t>
      </w:r>
      <w:r>
        <w:rPr>
          <w:rFonts w:hint="eastAsia" w:ascii="宋体" w:hAnsi="宋体" w:eastAsia="宋体" w:cs="宋体"/>
          <w:kern w:val="0"/>
          <w:szCs w:val="21"/>
        </w:rPr>
        <w:t>年</w:t>
      </w:r>
      <w:r>
        <w:rPr>
          <w:rFonts w:hint="eastAsia" w:ascii="宋体" w:hAnsi="宋体" w:eastAsia="宋体" w:cs="宋体"/>
          <w:kern w:val="0"/>
          <w:szCs w:val="21"/>
          <w:u w:val="single"/>
        </w:rPr>
        <w:t>   </w:t>
      </w:r>
      <w:r>
        <w:rPr>
          <w:rFonts w:hint="eastAsia" w:ascii="宋体" w:hAnsi="宋体" w:eastAsia="宋体" w:cs="宋体"/>
          <w:kern w:val="0"/>
          <w:szCs w:val="21"/>
        </w:rPr>
        <w:t>月</w:t>
      </w:r>
      <w:r>
        <w:rPr>
          <w:rFonts w:hint="eastAsia" w:ascii="宋体" w:hAnsi="宋体" w:eastAsia="宋体" w:cs="宋体"/>
          <w:kern w:val="0"/>
          <w:szCs w:val="21"/>
          <w:u w:val="single"/>
        </w:rPr>
        <w:t>   </w:t>
      </w:r>
      <w:r>
        <w:rPr>
          <w:rFonts w:hint="eastAsia" w:ascii="宋体" w:hAnsi="宋体" w:eastAsia="宋体" w:cs="宋体"/>
          <w:kern w:val="0"/>
          <w:szCs w:val="21"/>
        </w:rPr>
        <w:t>日至</w:t>
      </w:r>
      <w:r>
        <w:rPr>
          <w:rFonts w:hint="eastAsia" w:ascii="宋体" w:hAnsi="宋体" w:eastAsia="宋体" w:cs="宋体"/>
          <w:kern w:val="0"/>
          <w:szCs w:val="21"/>
          <w:u w:val="single"/>
        </w:rPr>
        <w:t>    </w:t>
      </w:r>
      <w:r>
        <w:rPr>
          <w:rFonts w:hint="eastAsia" w:ascii="宋体" w:hAnsi="宋体" w:eastAsia="宋体" w:cs="宋体"/>
          <w:kern w:val="0"/>
          <w:szCs w:val="21"/>
        </w:rPr>
        <w:t>年</w:t>
      </w:r>
      <w:r>
        <w:rPr>
          <w:rFonts w:hint="eastAsia" w:ascii="宋体" w:hAnsi="宋体" w:eastAsia="宋体" w:cs="宋体"/>
          <w:kern w:val="0"/>
          <w:szCs w:val="21"/>
          <w:u w:val="single"/>
        </w:rPr>
        <w:t>   </w:t>
      </w:r>
      <w:r>
        <w:rPr>
          <w:rFonts w:hint="eastAsia" w:ascii="宋体" w:hAnsi="宋体" w:eastAsia="宋体" w:cs="宋体"/>
          <w:kern w:val="0"/>
          <w:szCs w:val="21"/>
        </w:rPr>
        <w:t>月</w:t>
      </w:r>
      <w:r>
        <w:rPr>
          <w:rFonts w:hint="eastAsia" w:ascii="宋体" w:hAnsi="宋体" w:eastAsia="宋体" w:cs="宋体"/>
          <w:kern w:val="0"/>
          <w:szCs w:val="21"/>
          <w:u w:val="single"/>
        </w:rPr>
        <w:t>   </w:t>
      </w:r>
      <w:r>
        <w:rPr>
          <w:rFonts w:hint="eastAsia" w:ascii="宋体" w:hAnsi="宋体" w:eastAsia="宋体" w:cs="宋体"/>
          <w:kern w:val="0"/>
          <w:szCs w:val="21"/>
        </w:rPr>
        <w:t>日期间我方缴纳</w:t>
      </w:r>
      <w:r>
        <w:rPr>
          <w:rFonts w:hint="eastAsia" w:ascii="宋体" w:hAnsi="宋体" w:eastAsia="宋体" w:cs="宋体"/>
          <w:kern w:val="0"/>
          <w:szCs w:val="21"/>
          <w:u w:val="single"/>
        </w:rPr>
        <w:t>（包括但不限于税务机关出具的专用收据、税收缴纳证明或税收代缴银行的缴款收讫凭证）等</w:t>
      </w:r>
      <w:r>
        <w:rPr>
          <w:rFonts w:hint="eastAsia" w:ascii="宋体" w:hAnsi="宋体" w:eastAsia="宋体" w:cs="宋体"/>
          <w:kern w:val="0"/>
          <w:szCs w:val="21"/>
        </w:rPr>
        <w:t>税收凭据复印件，上述证明材料真实有效，否则我方负全部责任。</w:t>
      </w:r>
    </w:p>
    <w:p w14:paraId="6FB9A28B">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2、依法免税的投标人</w:t>
      </w:r>
    </w:p>
    <w:p w14:paraId="1F869377">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 ）现附上我方依法免税证明材料复印件，上述证明材料真实有效，否则我方负全部责任。</w:t>
      </w:r>
    </w:p>
    <w:p w14:paraId="4314966D">
      <w:pPr>
        <w:widowControl/>
        <w:spacing w:after="150"/>
        <w:jc w:val="left"/>
        <w:rPr>
          <w:rFonts w:ascii="宋体" w:hAnsi="宋体" w:eastAsia="宋体" w:cs="宋体"/>
          <w:kern w:val="0"/>
          <w:sz w:val="24"/>
          <w:szCs w:val="24"/>
        </w:rPr>
      </w:pPr>
      <w:r>
        <w:rPr>
          <w:rFonts w:ascii="Calibri" w:hAnsi="Calibri" w:eastAsia="宋体" w:cs="Calibri"/>
          <w:kern w:val="0"/>
          <w:szCs w:val="21"/>
        </w:rPr>
        <w:t> </w:t>
      </w:r>
    </w:p>
    <w:p w14:paraId="571DAA87">
      <w:pPr>
        <w:widowControl/>
        <w:spacing w:after="150"/>
        <w:jc w:val="left"/>
        <w:rPr>
          <w:rFonts w:ascii="宋体" w:hAnsi="宋体" w:eastAsia="宋体" w:cs="宋体"/>
          <w:kern w:val="0"/>
          <w:sz w:val="24"/>
          <w:szCs w:val="24"/>
        </w:rPr>
      </w:pPr>
      <w:r>
        <w:rPr>
          <w:rFonts w:hint="eastAsia" w:ascii="宋体" w:hAnsi="宋体" w:eastAsia="宋体" w:cs="宋体"/>
          <w:kern w:val="0"/>
          <w:szCs w:val="21"/>
        </w:rPr>
        <w:t>※注意：</w:t>
      </w:r>
    </w:p>
    <w:p w14:paraId="0F305ABC">
      <w:pPr>
        <w:widowControl/>
        <w:spacing w:after="150"/>
        <w:jc w:val="left"/>
        <w:rPr>
          <w:rFonts w:ascii="宋体" w:hAnsi="宋体" w:eastAsia="宋体" w:cs="宋体"/>
          <w:kern w:val="0"/>
          <w:sz w:val="24"/>
          <w:szCs w:val="24"/>
        </w:rPr>
      </w:pPr>
      <w:r>
        <w:rPr>
          <w:rFonts w:hint="eastAsia" w:ascii="宋体" w:hAnsi="宋体" w:eastAsia="宋体" w:cs="宋体"/>
          <w:kern w:val="0"/>
          <w:szCs w:val="21"/>
        </w:rPr>
        <w:t>1、请投标人按照实际情况编制填写，在相应的（）中打“√”，并按照本格式的要求提供相应证明材料的复印件。</w:t>
      </w:r>
    </w:p>
    <w:p w14:paraId="1B6DE57D">
      <w:pPr>
        <w:widowControl/>
        <w:spacing w:after="150"/>
        <w:jc w:val="left"/>
        <w:rPr>
          <w:rFonts w:ascii="宋体" w:hAnsi="宋体" w:eastAsia="宋体" w:cs="宋体"/>
          <w:kern w:val="0"/>
          <w:sz w:val="24"/>
          <w:szCs w:val="24"/>
        </w:rPr>
      </w:pPr>
      <w:r>
        <w:rPr>
          <w:rFonts w:hint="eastAsia" w:ascii="宋体" w:hAnsi="宋体" w:eastAsia="宋体" w:cs="宋体"/>
          <w:kern w:val="0"/>
          <w:szCs w:val="21"/>
        </w:rPr>
        <w:t>2、投标人提供的税收凭据复印件应符合下列规定：</w:t>
      </w:r>
    </w:p>
    <w:p w14:paraId="5C5A685D">
      <w:pPr>
        <w:widowControl/>
        <w:spacing w:after="150"/>
        <w:jc w:val="left"/>
        <w:rPr>
          <w:rFonts w:ascii="宋体" w:hAnsi="宋体" w:eastAsia="宋体" w:cs="宋体"/>
          <w:kern w:val="0"/>
          <w:sz w:val="24"/>
          <w:szCs w:val="24"/>
        </w:rPr>
      </w:pPr>
      <w:r>
        <w:rPr>
          <w:rFonts w:hint="eastAsia" w:ascii="宋体" w:hAnsi="宋体" w:eastAsia="宋体" w:cs="宋体"/>
          <w:kern w:val="0"/>
          <w:szCs w:val="21"/>
        </w:rPr>
        <w:t>2.1投标截止时间前（不含投标截止时间的当月）已依法缴纳税收的投标人，提供投标截止时间前六个月（不含投标截止时间的当月）中任一月份的税收凭据复印件。</w:t>
      </w:r>
    </w:p>
    <w:p w14:paraId="1FEE7913">
      <w:pPr>
        <w:widowControl/>
        <w:spacing w:after="150"/>
        <w:jc w:val="left"/>
        <w:rPr>
          <w:rFonts w:ascii="宋体" w:hAnsi="宋体" w:eastAsia="宋体" w:cs="宋体"/>
          <w:kern w:val="0"/>
          <w:sz w:val="24"/>
          <w:szCs w:val="24"/>
        </w:rPr>
      </w:pPr>
      <w:r>
        <w:rPr>
          <w:rFonts w:hint="eastAsia" w:ascii="宋体" w:hAnsi="宋体" w:eastAsia="宋体" w:cs="宋体"/>
          <w:kern w:val="0"/>
          <w:szCs w:val="21"/>
        </w:rPr>
        <w:t>2.2投标截止时间的当月成立且已依法缴纳税收的投标人，提供投标截止时间当月的税收凭据复印件。</w:t>
      </w:r>
    </w:p>
    <w:p w14:paraId="505EC0F7">
      <w:pPr>
        <w:widowControl/>
        <w:spacing w:after="150"/>
        <w:jc w:val="left"/>
        <w:rPr>
          <w:rFonts w:ascii="宋体" w:hAnsi="宋体" w:eastAsia="宋体" w:cs="宋体"/>
          <w:kern w:val="0"/>
          <w:sz w:val="24"/>
          <w:szCs w:val="24"/>
        </w:rPr>
      </w:pPr>
      <w:r>
        <w:rPr>
          <w:rFonts w:hint="eastAsia" w:ascii="宋体" w:hAnsi="宋体" w:eastAsia="宋体" w:cs="宋体"/>
          <w:kern w:val="0"/>
          <w:szCs w:val="21"/>
        </w:rPr>
        <w:t>2.3投标截止时间的当月成立但因税务机关原因导致其尚未依法缴纳税收的投标人，提供依法缴纳税收承诺书（格式自拟），该承诺书视同税收凭据。</w:t>
      </w:r>
    </w:p>
    <w:p w14:paraId="64CAE594">
      <w:pPr>
        <w:widowControl/>
        <w:spacing w:after="150"/>
        <w:jc w:val="left"/>
        <w:rPr>
          <w:rFonts w:ascii="宋体" w:hAnsi="宋体" w:eastAsia="宋体" w:cs="宋体"/>
          <w:kern w:val="0"/>
          <w:sz w:val="24"/>
          <w:szCs w:val="24"/>
        </w:rPr>
      </w:pPr>
    </w:p>
    <w:p w14:paraId="2CCA8CFE">
      <w:pPr>
        <w:widowControl/>
        <w:spacing w:after="150"/>
        <w:jc w:val="left"/>
        <w:rPr>
          <w:rFonts w:ascii="宋体" w:hAnsi="宋体" w:eastAsia="宋体" w:cs="宋体"/>
          <w:kern w:val="0"/>
          <w:sz w:val="24"/>
          <w:szCs w:val="24"/>
        </w:rPr>
      </w:pPr>
      <w:r>
        <w:rPr>
          <w:rFonts w:ascii="Calibri" w:hAnsi="Calibri" w:eastAsia="宋体" w:cs="Calibri"/>
          <w:kern w:val="0"/>
          <w:szCs w:val="21"/>
        </w:rPr>
        <w:t> </w:t>
      </w:r>
    </w:p>
    <w:p w14:paraId="2EA619F6">
      <w:pPr>
        <w:widowControl/>
        <w:spacing w:after="150"/>
        <w:jc w:val="left"/>
        <w:rPr>
          <w:rFonts w:ascii="宋体" w:hAnsi="宋体" w:eastAsia="宋体" w:cs="宋体"/>
          <w:kern w:val="0"/>
          <w:sz w:val="24"/>
          <w:szCs w:val="24"/>
        </w:rPr>
      </w:pPr>
      <w:r>
        <w:rPr>
          <w:rFonts w:ascii="Calibri" w:hAnsi="Calibri" w:eastAsia="宋体" w:cs="Calibri"/>
          <w:kern w:val="0"/>
          <w:szCs w:val="21"/>
        </w:rPr>
        <w:t> </w:t>
      </w:r>
    </w:p>
    <w:p w14:paraId="27D45D52">
      <w:pPr>
        <w:widowControl/>
        <w:spacing w:after="150"/>
        <w:jc w:val="left"/>
        <w:rPr>
          <w:rFonts w:ascii="宋体" w:hAnsi="宋体" w:eastAsia="宋体" w:cs="宋体"/>
          <w:kern w:val="0"/>
          <w:sz w:val="24"/>
          <w:szCs w:val="24"/>
        </w:rPr>
      </w:pPr>
      <w:r>
        <w:rPr>
          <w:rFonts w:hint="eastAsia" w:ascii="宋体" w:hAnsi="宋体" w:eastAsia="宋体" w:cs="宋体"/>
          <w:kern w:val="0"/>
          <w:szCs w:val="21"/>
        </w:rPr>
        <w:t>投标人：</w:t>
      </w:r>
      <w:r>
        <w:rPr>
          <w:rFonts w:hint="eastAsia" w:ascii="宋体" w:hAnsi="宋体" w:eastAsia="宋体" w:cs="宋体"/>
          <w:kern w:val="0"/>
          <w:szCs w:val="21"/>
          <w:u w:val="single"/>
        </w:rPr>
        <w:t>（全称并加盖单位公章）</w:t>
      </w:r>
    </w:p>
    <w:p w14:paraId="4D67F878">
      <w:pPr>
        <w:widowControl/>
        <w:spacing w:after="150"/>
        <w:jc w:val="left"/>
        <w:rPr>
          <w:rFonts w:ascii="宋体" w:hAnsi="宋体" w:eastAsia="宋体" w:cs="宋体"/>
          <w:kern w:val="0"/>
          <w:sz w:val="24"/>
          <w:szCs w:val="24"/>
        </w:rPr>
      </w:pPr>
      <w:r>
        <w:rPr>
          <w:rFonts w:hint="eastAsia" w:ascii="宋体" w:hAnsi="宋体" w:eastAsia="宋体" w:cs="宋体"/>
          <w:kern w:val="0"/>
          <w:szCs w:val="21"/>
        </w:rPr>
        <w:t>日期：</w:t>
      </w:r>
      <w:r>
        <w:rPr>
          <w:rFonts w:hint="eastAsia" w:ascii="宋体" w:hAnsi="宋体" w:eastAsia="宋体" w:cs="宋体"/>
          <w:kern w:val="0"/>
          <w:szCs w:val="21"/>
          <w:u w:val="single"/>
        </w:rPr>
        <w:t>    </w:t>
      </w:r>
      <w:r>
        <w:rPr>
          <w:rFonts w:hint="eastAsia" w:ascii="宋体" w:hAnsi="宋体" w:eastAsia="宋体" w:cs="宋体"/>
          <w:kern w:val="0"/>
          <w:szCs w:val="21"/>
        </w:rPr>
        <w:t>年</w:t>
      </w:r>
      <w:r>
        <w:rPr>
          <w:rFonts w:hint="eastAsia" w:ascii="宋体" w:hAnsi="宋体" w:eastAsia="宋体" w:cs="宋体"/>
          <w:kern w:val="0"/>
          <w:szCs w:val="21"/>
          <w:u w:val="single"/>
        </w:rPr>
        <w:t>   </w:t>
      </w:r>
      <w:r>
        <w:rPr>
          <w:rFonts w:hint="eastAsia" w:ascii="宋体" w:hAnsi="宋体" w:eastAsia="宋体" w:cs="宋体"/>
          <w:kern w:val="0"/>
          <w:szCs w:val="21"/>
        </w:rPr>
        <w:t>月</w:t>
      </w:r>
      <w:r>
        <w:rPr>
          <w:rFonts w:hint="eastAsia" w:ascii="宋体" w:hAnsi="宋体" w:eastAsia="宋体" w:cs="宋体"/>
          <w:kern w:val="0"/>
          <w:szCs w:val="21"/>
          <w:u w:val="single"/>
        </w:rPr>
        <w:t>   </w:t>
      </w:r>
      <w:r>
        <w:rPr>
          <w:rFonts w:hint="eastAsia" w:ascii="宋体" w:hAnsi="宋体" w:eastAsia="宋体" w:cs="宋体"/>
          <w:kern w:val="0"/>
          <w:szCs w:val="21"/>
        </w:rPr>
        <w:t>日</w:t>
      </w:r>
    </w:p>
    <w:p w14:paraId="226A3F86">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14:paraId="7DFA85FD">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14:paraId="367AED78">
      <w:pPr>
        <w:widowControl/>
        <w:spacing w:after="150"/>
        <w:jc w:val="center"/>
        <w:rPr>
          <w:rFonts w:ascii="宋体" w:hAnsi="宋体" w:eastAsia="宋体" w:cs="宋体"/>
          <w:kern w:val="0"/>
          <w:sz w:val="24"/>
          <w:szCs w:val="24"/>
        </w:rPr>
      </w:pPr>
      <w:r>
        <w:rPr>
          <w:rFonts w:ascii="Calibri" w:hAnsi="Calibri" w:eastAsia="宋体" w:cs="Calibri"/>
          <w:kern w:val="0"/>
          <w:szCs w:val="21"/>
        </w:rPr>
        <w:br w:type="textWrapping"/>
      </w:r>
      <w:r>
        <w:rPr>
          <w:rFonts w:hint="eastAsia" w:ascii="宋体" w:hAnsi="宋体" w:eastAsia="宋体" w:cs="宋体"/>
          <w:b/>
          <w:bCs/>
          <w:kern w:val="0"/>
          <w:szCs w:val="21"/>
        </w:rPr>
        <w:t>二-5依法缴纳社会保障资金证明材料</w:t>
      </w:r>
    </w:p>
    <w:p w14:paraId="6CF3D719">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14:paraId="02F62CD6">
      <w:pPr>
        <w:widowControl/>
        <w:spacing w:after="150"/>
        <w:jc w:val="left"/>
        <w:rPr>
          <w:rFonts w:ascii="宋体" w:hAnsi="宋体" w:eastAsia="宋体" w:cs="宋体"/>
          <w:kern w:val="0"/>
          <w:sz w:val="24"/>
          <w:szCs w:val="24"/>
        </w:rPr>
      </w:pPr>
      <w:r>
        <w:rPr>
          <w:rFonts w:hint="eastAsia" w:ascii="宋体" w:hAnsi="宋体" w:eastAsia="宋体" w:cs="宋体"/>
          <w:kern w:val="0"/>
          <w:szCs w:val="21"/>
        </w:rPr>
        <w:t>致：</w:t>
      </w:r>
      <w:r>
        <w:rPr>
          <w:rFonts w:hint="eastAsia" w:ascii="宋体" w:hAnsi="宋体" w:eastAsia="宋体" w:cs="宋体"/>
          <w:kern w:val="0"/>
          <w:szCs w:val="21"/>
          <w:u w:val="single"/>
        </w:rPr>
        <w:t>           （采购人或采购代理机构） </w:t>
      </w:r>
    </w:p>
    <w:p w14:paraId="48828707">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1、依法缴纳社会保障资金的投标人</w:t>
      </w:r>
    </w:p>
    <w:p w14:paraId="55EB3A62">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 ）法人（包括企业、事业单位和社会团体）的</w:t>
      </w:r>
    </w:p>
    <w:p w14:paraId="633B80C2">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现附上自</w:t>
      </w:r>
      <w:r>
        <w:rPr>
          <w:rFonts w:hint="eastAsia" w:ascii="宋体" w:hAnsi="宋体" w:eastAsia="宋体" w:cs="宋体"/>
          <w:kern w:val="0"/>
          <w:szCs w:val="21"/>
          <w:u w:val="single"/>
        </w:rPr>
        <w:t>    </w:t>
      </w:r>
      <w:r>
        <w:rPr>
          <w:rFonts w:hint="eastAsia" w:ascii="宋体" w:hAnsi="宋体" w:eastAsia="宋体" w:cs="宋体"/>
          <w:kern w:val="0"/>
          <w:szCs w:val="21"/>
        </w:rPr>
        <w:t>年</w:t>
      </w:r>
      <w:r>
        <w:rPr>
          <w:rFonts w:hint="eastAsia" w:ascii="宋体" w:hAnsi="宋体" w:eastAsia="宋体" w:cs="宋体"/>
          <w:kern w:val="0"/>
          <w:szCs w:val="21"/>
          <w:u w:val="single"/>
        </w:rPr>
        <w:t>   </w:t>
      </w:r>
      <w:r>
        <w:rPr>
          <w:rFonts w:hint="eastAsia" w:ascii="宋体" w:hAnsi="宋体" w:eastAsia="宋体" w:cs="宋体"/>
          <w:kern w:val="0"/>
          <w:szCs w:val="21"/>
        </w:rPr>
        <w:t>月</w:t>
      </w:r>
      <w:r>
        <w:rPr>
          <w:rFonts w:hint="eastAsia" w:ascii="宋体" w:hAnsi="宋体" w:eastAsia="宋体" w:cs="宋体"/>
          <w:kern w:val="0"/>
          <w:szCs w:val="21"/>
          <w:u w:val="single"/>
        </w:rPr>
        <w:t>   </w:t>
      </w:r>
      <w:r>
        <w:rPr>
          <w:rFonts w:hint="eastAsia" w:ascii="宋体" w:hAnsi="宋体" w:eastAsia="宋体" w:cs="宋体"/>
          <w:kern w:val="0"/>
          <w:szCs w:val="21"/>
        </w:rPr>
        <w:t>日至</w:t>
      </w:r>
      <w:r>
        <w:rPr>
          <w:rFonts w:hint="eastAsia" w:ascii="宋体" w:hAnsi="宋体" w:eastAsia="宋体" w:cs="宋体"/>
          <w:kern w:val="0"/>
          <w:szCs w:val="21"/>
          <w:u w:val="single"/>
        </w:rPr>
        <w:t>    </w:t>
      </w:r>
      <w:r>
        <w:rPr>
          <w:rFonts w:hint="eastAsia" w:ascii="宋体" w:hAnsi="宋体" w:eastAsia="宋体" w:cs="宋体"/>
          <w:kern w:val="0"/>
          <w:szCs w:val="21"/>
        </w:rPr>
        <w:t>年</w:t>
      </w:r>
      <w:r>
        <w:rPr>
          <w:rFonts w:hint="eastAsia" w:ascii="宋体" w:hAnsi="宋体" w:eastAsia="宋体" w:cs="宋体"/>
          <w:kern w:val="0"/>
          <w:szCs w:val="21"/>
          <w:u w:val="single"/>
        </w:rPr>
        <w:t>   </w:t>
      </w:r>
      <w:r>
        <w:rPr>
          <w:rFonts w:hint="eastAsia" w:ascii="宋体" w:hAnsi="宋体" w:eastAsia="宋体" w:cs="宋体"/>
          <w:kern w:val="0"/>
          <w:szCs w:val="21"/>
        </w:rPr>
        <w:t>月</w:t>
      </w:r>
      <w:r>
        <w:rPr>
          <w:rFonts w:hint="eastAsia" w:ascii="宋体" w:hAnsi="宋体" w:eastAsia="宋体" w:cs="宋体"/>
          <w:kern w:val="0"/>
          <w:szCs w:val="21"/>
          <w:u w:val="single"/>
        </w:rPr>
        <w:t>   </w:t>
      </w:r>
      <w:r>
        <w:rPr>
          <w:rFonts w:hint="eastAsia" w:ascii="宋体" w:hAnsi="宋体" w:eastAsia="宋体" w:cs="宋体"/>
          <w:kern w:val="0"/>
          <w:szCs w:val="21"/>
        </w:rPr>
        <w:t>日我方缴纳的社会保险凭据（限：税务机关/社会保障资金管理机关的专用收据或社会保险缴纳清单，或社会保险的银行缴款收讫凭证）复印件，上述证明材料真实有效，否则我方负全部责任。</w:t>
      </w:r>
    </w:p>
    <w:p w14:paraId="310D79EE">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 ）非法人（包括其他组织、自然人）的</w:t>
      </w:r>
    </w:p>
    <w:p w14:paraId="749CC000">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自</w:t>
      </w:r>
      <w:r>
        <w:rPr>
          <w:rFonts w:hint="eastAsia" w:ascii="宋体" w:hAnsi="宋体" w:eastAsia="宋体" w:cs="宋体"/>
          <w:kern w:val="0"/>
          <w:szCs w:val="21"/>
          <w:u w:val="single"/>
        </w:rPr>
        <w:t>    </w:t>
      </w:r>
      <w:r>
        <w:rPr>
          <w:rFonts w:hint="eastAsia" w:ascii="宋体" w:hAnsi="宋体" w:eastAsia="宋体" w:cs="宋体"/>
          <w:kern w:val="0"/>
          <w:szCs w:val="21"/>
        </w:rPr>
        <w:t>年</w:t>
      </w:r>
      <w:r>
        <w:rPr>
          <w:rFonts w:hint="eastAsia" w:ascii="宋体" w:hAnsi="宋体" w:eastAsia="宋体" w:cs="宋体"/>
          <w:kern w:val="0"/>
          <w:szCs w:val="21"/>
          <w:u w:val="single"/>
        </w:rPr>
        <w:t>   </w:t>
      </w:r>
      <w:r>
        <w:rPr>
          <w:rFonts w:hint="eastAsia" w:ascii="宋体" w:hAnsi="宋体" w:eastAsia="宋体" w:cs="宋体"/>
          <w:kern w:val="0"/>
          <w:szCs w:val="21"/>
        </w:rPr>
        <w:t>月</w:t>
      </w:r>
      <w:r>
        <w:rPr>
          <w:rFonts w:hint="eastAsia" w:ascii="宋体" w:hAnsi="宋体" w:eastAsia="宋体" w:cs="宋体"/>
          <w:kern w:val="0"/>
          <w:szCs w:val="21"/>
          <w:u w:val="single"/>
        </w:rPr>
        <w:t>   </w:t>
      </w:r>
      <w:r>
        <w:rPr>
          <w:rFonts w:hint="eastAsia" w:ascii="宋体" w:hAnsi="宋体" w:eastAsia="宋体" w:cs="宋体"/>
          <w:kern w:val="0"/>
          <w:szCs w:val="21"/>
        </w:rPr>
        <w:t>日至</w:t>
      </w:r>
      <w:r>
        <w:rPr>
          <w:rFonts w:hint="eastAsia" w:ascii="宋体" w:hAnsi="宋体" w:eastAsia="宋体" w:cs="宋体"/>
          <w:kern w:val="0"/>
          <w:szCs w:val="21"/>
          <w:u w:val="single"/>
        </w:rPr>
        <w:t>    </w:t>
      </w:r>
      <w:r>
        <w:rPr>
          <w:rFonts w:hint="eastAsia" w:ascii="宋体" w:hAnsi="宋体" w:eastAsia="宋体" w:cs="宋体"/>
          <w:kern w:val="0"/>
          <w:szCs w:val="21"/>
        </w:rPr>
        <w:t>年</w:t>
      </w:r>
      <w:r>
        <w:rPr>
          <w:rFonts w:hint="eastAsia" w:ascii="宋体" w:hAnsi="宋体" w:eastAsia="宋体" w:cs="宋体"/>
          <w:kern w:val="0"/>
          <w:szCs w:val="21"/>
          <w:u w:val="single"/>
        </w:rPr>
        <w:t>   </w:t>
      </w:r>
      <w:r>
        <w:rPr>
          <w:rFonts w:hint="eastAsia" w:ascii="宋体" w:hAnsi="宋体" w:eastAsia="宋体" w:cs="宋体"/>
          <w:kern w:val="0"/>
          <w:szCs w:val="21"/>
        </w:rPr>
        <w:t>月</w:t>
      </w:r>
      <w:r>
        <w:rPr>
          <w:rFonts w:hint="eastAsia" w:ascii="宋体" w:hAnsi="宋体" w:eastAsia="宋体" w:cs="宋体"/>
          <w:kern w:val="0"/>
          <w:szCs w:val="21"/>
          <w:u w:val="single"/>
        </w:rPr>
        <w:t>   </w:t>
      </w:r>
      <w:r>
        <w:rPr>
          <w:rFonts w:hint="eastAsia" w:ascii="宋体" w:hAnsi="宋体" w:eastAsia="宋体" w:cs="宋体"/>
          <w:kern w:val="0"/>
          <w:szCs w:val="21"/>
        </w:rPr>
        <w:t>日我方缴纳的社会保险凭据（限：税务机关/社会保障资金管理机关的专用收据或社会保险缴纳清单，或社会保险的银行缴款收讫凭证）复印件，上述证明材料真实有效，否则我方负全部责任。</w:t>
      </w:r>
    </w:p>
    <w:p w14:paraId="68292256">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2、依法不需要缴纳社会保障资金的投标人</w:t>
      </w:r>
    </w:p>
    <w:p w14:paraId="05B30079">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 ）现附上我方依法不需要缴纳社会保障资金证明材料复印件，上述证明材料真实有效，否则我方负全部责任。</w:t>
      </w:r>
    </w:p>
    <w:p w14:paraId="35780B85">
      <w:pPr>
        <w:widowControl/>
        <w:spacing w:after="150"/>
        <w:jc w:val="left"/>
        <w:rPr>
          <w:rFonts w:ascii="宋体" w:hAnsi="宋体" w:eastAsia="宋体" w:cs="宋体"/>
          <w:kern w:val="0"/>
          <w:sz w:val="24"/>
          <w:szCs w:val="24"/>
        </w:rPr>
      </w:pPr>
      <w:r>
        <w:rPr>
          <w:rFonts w:ascii="Calibri" w:hAnsi="Calibri" w:eastAsia="宋体" w:cs="Calibri"/>
          <w:kern w:val="0"/>
          <w:szCs w:val="21"/>
        </w:rPr>
        <w:t> </w:t>
      </w:r>
    </w:p>
    <w:p w14:paraId="4B754A39">
      <w:pPr>
        <w:widowControl/>
        <w:spacing w:after="150"/>
        <w:jc w:val="left"/>
        <w:rPr>
          <w:rFonts w:ascii="宋体" w:hAnsi="宋体" w:eastAsia="宋体" w:cs="宋体"/>
          <w:kern w:val="0"/>
          <w:sz w:val="24"/>
          <w:szCs w:val="24"/>
        </w:rPr>
      </w:pPr>
      <w:r>
        <w:rPr>
          <w:rFonts w:hint="eastAsia" w:ascii="宋体" w:hAnsi="宋体" w:eastAsia="宋体" w:cs="宋体"/>
          <w:kern w:val="0"/>
          <w:szCs w:val="21"/>
        </w:rPr>
        <w:t>※注意：</w:t>
      </w:r>
    </w:p>
    <w:p w14:paraId="47D7F1CE">
      <w:pPr>
        <w:widowControl/>
        <w:spacing w:after="150"/>
        <w:jc w:val="left"/>
        <w:rPr>
          <w:rFonts w:ascii="宋体" w:hAnsi="宋体" w:eastAsia="宋体" w:cs="宋体"/>
          <w:kern w:val="0"/>
          <w:sz w:val="24"/>
          <w:szCs w:val="24"/>
        </w:rPr>
      </w:pPr>
      <w:r>
        <w:rPr>
          <w:rFonts w:hint="eastAsia" w:ascii="宋体" w:hAnsi="宋体" w:eastAsia="宋体" w:cs="宋体"/>
          <w:kern w:val="0"/>
          <w:szCs w:val="21"/>
        </w:rPr>
        <w:t>1、请投标人按照实际情况编制填写，在相应的（）中打“√”，并按照本格式的要求提供相应证明材料的复印件。</w:t>
      </w:r>
    </w:p>
    <w:p w14:paraId="30D37241">
      <w:pPr>
        <w:widowControl/>
        <w:spacing w:after="150"/>
        <w:jc w:val="left"/>
        <w:rPr>
          <w:rFonts w:ascii="宋体" w:hAnsi="宋体" w:eastAsia="宋体" w:cs="宋体"/>
          <w:kern w:val="0"/>
          <w:sz w:val="24"/>
          <w:szCs w:val="24"/>
        </w:rPr>
      </w:pPr>
      <w:r>
        <w:rPr>
          <w:rFonts w:hint="eastAsia" w:ascii="宋体" w:hAnsi="宋体" w:eastAsia="宋体" w:cs="宋体"/>
          <w:kern w:val="0"/>
          <w:szCs w:val="21"/>
        </w:rPr>
        <w:t>2、投标人提供的社会保险凭据复印件应符合下列规定：</w:t>
      </w:r>
    </w:p>
    <w:p w14:paraId="32F03537">
      <w:pPr>
        <w:widowControl/>
        <w:spacing w:after="150"/>
        <w:jc w:val="left"/>
        <w:rPr>
          <w:rFonts w:ascii="宋体" w:hAnsi="宋体" w:eastAsia="宋体" w:cs="宋体"/>
          <w:kern w:val="0"/>
          <w:sz w:val="24"/>
          <w:szCs w:val="24"/>
        </w:rPr>
      </w:pPr>
      <w:r>
        <w:rPr>
          <w:rFonts w:hint="eastAsia" w:ascii="宋体" w:hAnsi="宋体" w:eastAsia="宋体" w:cs="宋体"/>
          <w:kern w:val="0"/>
          <w:szCs w:val="21"/>
        </w:rPr>
        <w:t>2.1投标截止时间前（不含投标截止时间的当月）已依法缴纳社会保障资金的投标人，提供投标截止时间前六个月（不含投标截止时间的当月）中任一月份的社会保险凭据复印件。</w:t>
      </w:r>
    </w:p>
    <w:p w14:paraId="0199D200">
      <w:pPr>
        <w:widowControl/>
        <w:spacing w:after="150"/>
        <w:jc w:val="left"/>
        <w:rPr>
          <w:rFonts w:ascii="宋体" w:hAnsi="宋体" w:eastAsia="宋体" w:cs="宋体"/>
          <w:kern w:val="0"/>
          <w:sz w:val="24"/>
          <w:szCs w:val="24"/>
        </w:rPr>
      </w:pPr>
      <w:r>
        <w:rPr>
          <w:rFonts w:hint="eastAsia" w:ascii="宋体" w:hAnsi="宋体" w:eastAsia="宋体" w:cs="宋体"/>
          <w:kern w:val="0"/>
          <w:szCs w:val="21"/>
        </w:rPr>
        <w:t>2.2投标截止时间的当月成立且已依法缴纳社会保障资金的投标人，提供投标截止时间当月的社会保险凭据复印件。</w:t>
      </w:r>
    </w:p>
    <w:p w14:paraId="5C21F0E1">
      <w:pPr>
        <w:widowControl/>
        <w:spacing w:after="150"/>
        <w:jc w:val="left"/>
        <w:rPr>
          <w:rFonts w:ascii="宋体" w:hAnsi="宋体" w:eastAsia="宋体" w:cs="宋体"/>
          <w:kern w:val="0"/>
          <w:sz w:val="24"/>
          <w:szCs w:val="24"/>
        </w:rPr>
      </w:pPr>
      <w:r>
        <w:rPr>
          <w:rFonts w:hint="eastAsia" w:ascii="宋体" w:hAnsi="宋体" w:eastAsia="宋体" w:cs="宋体"/>
          <w:kern w:val="0"/>
          <w:szCs w:val="21"/>
        </w:rPr>
        <w:t>2.3投标截止时间的当月成立但因税务机关</w:t>
      </w:r>
      <w:r>
        <w:rPr>
          <w:rFonts w:ascii="Calibri" w:hAnsi="Calibri" w:eastAsia="宋体" w:cs="Calibri"/>
          <w:kern w:val="0"/>
          <w:szCs w:val="21"/>
        </w:rPr>
        <w:t>/</w:t>
      </w:r>
      <w:r>
        <w:rPr>
          <w:rFonts w:hint="eastAsia" w:ascii="宋体" w:hAnsi="宋体" w:eastAsia="宋体" w:cs="宋体"/>
          <w:kern w:val="0"/>
          <w:szCs w:val="21"/>
        </w:rPr>
        <w:t>社会保障资金管理机关原因导致其尚未依法缴纳社会保障资金的投标人，提供依法缴纳社会保障资金承诺书（格式自拟），该承诺书视同社会保险凭据。</w:t>
      </w:r>
    </w:p>
    <w:p w14:paraId="2AFCCA32">
      <w:pPr>
        <w:widowControl/>
        <w:spacing w:after="150"/>
        <w:jc w:val="left"/>
        <w:rPr>
          <w:rFonts w:ascii="宋体" w:hAnsi="宋体" w:eastAsia="宋体" w:cs="宋体"/>
          <w:kern w:val="0"/>
          <w:sz w:val="24"/>
          <w:szCs w:val="24"/>
        </w:rPr>
      </w:pPr>
    </w:p>
    <w:p w14:paraId="28BD14B1">
      <w:pPr>
        <w:widowControl/>
        <w:spacing w:after="150"/>
        <w:jc w:val="left"/>
        <w:rPr>
          <w:rFonts w:ascii="宋体" w:hAnsi="宋体" w:eastAsia="宋体" w:cs="宋体"/>
          <w:kern w:val="0"/>
          <w:sz w:val="24"/>
          <w:szCs w:val="24"/>
        </w:rPr>
      </w:pPr>
      <w:r>
        <w:rPr>
          <w:rFonts w:ascii="Calibri" w:hAnsi="Calibri" w:eastAsia="宋体" w:cs="Calibri"/>
          <w:kern w:val="0"/>
          <w:szCs w:val="21"/>
        </w:rPr>
        <w:t> </w:t>
      </w:r>
    </w:p>
    <w:p w14:paraId="09F9FE1E">
      <w:pPr>
        <w:widowControl/>
        <w:spacing w:after="150"/>
        <w:jc w:val="left"/>
        <w:rPr>
          <w:rFonts w:ascii="宋体" w:hAnsi="宋体" w:eastAsia="宋体" w:cs="宋体"/>
          <w:kern w:val="0"/>
          <w:sz w:val="24"/>
          <w:szCs w:val="24"/>
        </w:rPr>
      </w:pPr>
      <w:r>
        <w:rPr>
          <w:rFonts w:hint="eastAsia" w:ascii="宋体" w:hAnsi="宋体" w:eastAsia="宋体" w:cs="宋体"/>
          <w:kern w:val="0"/>
          <w:szCs w:val="21"/>
        </w:rPr>
        <w:t>投标人：</w:t>
      </w:r>
      <w:r>
        <w:rPr>
          <w:rFonts w:hint="eastAsia" w:ascii="宋体" w:hAnsi="宋体" w:eastAsia="宋体" w:cs="宋体"/>
          <w:kern w:val="0"/>
          <w:szCs w:val="21"/>
          <w:u w:val="single"/>
        </w:rPr>
        <w:t>（全称并加盖单位公章）</w:t>
      </w:r>
    </w:p>
    <w:p w14:paraId="61F8D378">
      <w:pPr>
        <w:widowControl/>
        <w:spacing w:after="150"/>
        <w:jc w:val="left"/>
        <w:rPr>
          <w:rFonts w:ascii="宋体" w:hAnsi="宋体" w:eastAsia="宋体" w:cs="宋体"/>
          <w:kern w:val="0"/>
          <w:sz w:val="24"/>
          <w:szCs w:val="24"/>
        </w:rPr>
      </w:pPr>
      <w:r>
        <w:rPr>
          <w:rFonts w:hint="eastAsia" w:ascii="宋体" w:hAnsi="宋体" w:eastAsia="宋体" w:cs="宋体"/>
          <w:kern w:val="0"/>
          <w:szCs w:val="21"/>
        </w:rPr>
        <w:t>日期：</w:t>
      </w:r>
      <w:r>
        <w:rPr>
          <w:rFonts w:hint="eastAsia" w:ascii="宋体" w:hAnsi="宋体" w:eastAsia="宋体" w:cs="宋体"/>
          <w:kern w:val="0"/>
          <w:szCs w:val="21"/>
          <w:u w:val="single"/>
        </w:rPr>
        <w:t>    </w:t>
      </w:r>
      <w:r>
        <w:rPr>
          <w:rFonts w:hint="eastAsia" w:ascii="宋体" w:hAnsi="宋体" w:eastAsia="宋体" w:cs="宋体"/>
          <w:kern w:val="0"/>
          <w:szCs w:val="21"/>
        </w:rPr>
        <w:t>年</w:t>
      </w:r>
      <w:r>
        <w:rPr>
          <w:rFonts w:hint="eastAsia" w:ascii="宋体" w:hAnsi="宋体" w:eastAsia="宋体" w:cs="宋体"/>
          <w:kern w:val="0"/>
          <w:szCs w:val="21"/>
          <w:u w:val="single"/>
        </w:rPr>
        <w:t>   </w:t>
      </w:r>
      <w:r>
        <w:rPr>
          <w:rFonts w:hint="eastAsia" w:ascii="宋体" w:hAnsi="宋体" w:eastAsia="宋体" w:cs="宋体"/>
          <w:kern w:val="0"/>
          <w:szCs w:val="21"/>
        </w:rPr>
        <w:t>月</w:t>
      </w:r>
      <w:r>
        <w:rPr>
          <w:rFonts w:hint="eastAsia" w:ascii="宋体" w:hAnsi="宋体" w:eastAsia="宋体" w:cs="宋体"/>
          <w:kern w:val="0"/>
          <w:szCs w:val="21"/>
          <w:u w:val="single"/>
        </w:rPr>
        <w:t>   </w:t>
      </w:r>
      <w:r>
        <w:rPr>
          <w:rFonts w:hint="eastAsia" w:ascii="宋体" w:hAnsi="宋体" w:eastAsia="宋体" w:cs="宋体"/>
          <w:kern w:val="0"/>
          <w:szCs w:val="21"/>
        </w:rPr>
        <w:t>日</w:t>
      </w:r>
    </w:p>
    <w:p w14:paraId="00EC4767">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14:paraId="0F88CE0D">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14:paraId="639954BC">
      <w:pPr>
        <w:widowControl/>
        <w:spacing w:after="150"/>
        <w:jc w:val="center"/>
        <w:rPr>
          <w:rFonts w:ascii="宋体" w:hAnsi="宋体" w:eastAsia="宋体" w:cs="宋体"/>
          <w:kern w:val="0"/>
          <w:sz w:val="24"/>
          <w:szCs w:val="24"/>
        </w:rPr>
      </w:pPr>
      <w:r>
        <w:rPr>
          <w:rFonts w:ascii="Calibri" w:hAnsi="Calibri" w:eastAsia="宋体" w:cs="Calibri"/>
          <w:kern w:val="0"/>
          <w:szCs w:val="21"/>
        </w:rPr>
        <w:br w:type="textWrapping"/>
      </w:r>
      <w:r>
        <w:rPr>
          <w:rFonts w:hint="eastAsia" w:ascii="宋体" w:hAnsi="宋体" w:eastAsia="宋体" w:cs="宋体"/>
          <w:kern w:val="0"/>
          <w:szCs w:val="21"/>
        </w:rPr>
        <w:t>二</w:t>
      </w:r>
      <w:r>
        <w:rPr>
          <w:rFonts w:hint="eastAsia" w:ascii="宋体" w:hAnsi="宋体" w:eastAsia="宋体" w:cs="宋体"/>
          <w:b/>
          <w:bCs/>
          <w:kern w:val="0"/>
          <w:szCs w:val="21"/>
        </w:rPr>
        <w:t>-6具备履行合同所必需设备和专业技术能力的声明函（若有）</w:t>
      </w:r>
    </w:p>
    <w:p w14:paraId="2AE5E400">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14:paraId="5363463E">
      <w:pPr>
        <w:widowControl/>
        <w:spacing w:after="150"/>
        <w:jc w:val="left"/>
        <w:rPr>
          <w:rFonts w:ascii="宋体" w:hAnsi="宋体" w:eastAsia="宋体" w:cs="宋体"/>
          <w:kern w:val="0"/>
          <w:sz w:val="24"/>
          <w:szCs w:val="24"/>
        </w:rPr>
      </w:pPr>
      <w:r>
        <w:rPr>
          <w:rFonts w:hint="eastAsia" w:ascii="宋体" w:hAnsi="宋体" w:eastAsia="宋体" w:cs="宋体"/>
          <w:kern w:val="0"/>
          <w:szCs w:val="21"/>
        </w:rPr>
        <w:t>致：</w:t>
      </w:r>
      <w:r>
        <w:rPr>
          <w:rFonts w:hint="eastAsia" w:ascii="宋体" w:hAnsi="宋体" w:eastAsia="宋体" w:cs="宋体"/>
          <w:kern w:val="0"/>
          <w:szCs w:val="21"/>
          <w:u w:val="single"/>
        </w:rPr>
        <w:t>           （采购人或采购代理机构） </w:t>
      </w:r>
    </w:p>
    <w:p w14:paraId="69ECA894">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我方具备履行合同所必需的设备和专业技术能力，否则产生不利后果由我方承担责任。</w:t>
      </w:r>
    </w:p>
    <w:p w14:paraId="372ABF3C">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特此声明。</w:t>
      </w:r>
    </w:p>
    <w:p w14:paraId="1695B4A3">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14:paraId="71A37DC8">
      <w:pPr>
        <w:widowControl/>
        <w:spacing w:after="150"/>
        <w:jc w:val="left"/>
        <w:rPr>
          <w:rFonts w:ascii="宋体" w:hAnsi="宋体" w:eastAsia="宋体" w:cs="宋体"/>
          <w:kern w:val="0"/>
          <w:sz w:val="24"/>
          <w:szCs w:val="24"/>
        </w:rPr>
      </w:pPr>
      <w:r>
        <w:rPr>
          <w:rFonts w:hint="eastAsia" w:ascii="宋体" w:hAnsi="宋体" w:eastAsia="宋体" w:cs="宋体"/>
          <w:kern w:val="0"/>
          <w:szCs w:val="21"/>
        </w:rPr>
        <w:t>※注意：</w:t>
      </w:r>
    </w:p>
    <w:p w14:paraId="4CD147C9">
      <w:pPr>
        <w:widowControl/>
        <w:spacing w:after="150"/>
        <w:jc w:val="left"/>
        <w:rPr>
          <w:rFonts w:ascii="宋体" w:hAnsi="宋体" w:eastAsia="宋体" w:cs="宋体"/>
          <w:kern w:val="0"/>
          <w:sz w:val="24"/>
          <w:szCs w:val="24"/>
        </w:rPr>
      </w:pPr>
      <w:r>
        <w:rPr>
          <w:rFonts w:hint="eastAsia" w:ascii="宋体" w:hAnsi="宋体" w:eastAsia="宋体" w:cs="宋体"/>
          <w:kern w:val="0"/>
          <w:szCs w:val="21"/>
        </w:rPr>
        <w:t>1、招标文件未要求投标人提供“具备履行合同所必需的设备和专业技术能力专项证明材料”的，投标人应提供本声明函。</w:t>
      </w:r>
    </w:p>
    <w:p w14:paraId="43615F07">
      <w:pPr>
        <w:widowControl/>
        <w:spacing w:after="150"/>
        <w:jc w:val="left"/>
        <w:rPr>
          <w:rFonts w:ascii="宋体" w:hAnsi="宋体" w:eastAsia="宋体" w:cs="宋体"/>
          <w:kern w:val="0"/>
          <w:sz w:val="24"/>
          <w:szCs w:val="24"/>
        </w:rPr>
      </w:pPr>
      <w:r>
        <w:rPr>
          <w:rFonts w:hint="eastAsia" w:ascii="宋体" w:hAnsi="宋体" w:eastAsia="宋体" w:cs="宋体"/>
          <w:kern w:val="0"/>
          <w:szCs w:val="21"/>
        </w:rPr>
        <w:t>2、招标文件要求投标人提供“具备履行合同所必需的设备和专业技术能力专项证明材料”的，投标人可不提供本声明函。</w:t>
      </w:r>
    </w:p>
    <w:p w14:paraId="57EE15E3">
      <w:pPr>
        <w:widowControl/>
        <w:spacing w:after="150"/>
        <w:jc w:val="left"/>
        <w:rPr>
          <w:rFonts w:ascii="宋体" w:hAnsi="宋体" w:eastAsia="宋体" w:cs="宋体"/>
          <w:kern w:val="0"/>
          <w:sz w:val="24"/>
          <w:szCs w:val="24"/>
        </w:rPr>
      </w:pPr>
      <w:r>
        <w:rPr>
          <w:rFonts w:hint="eastAsia" w:ascii="宋体" w:hAnsi="宋体" w:eastAsia="宋体" w:cs="宋体"/>
          <w:kern w:val="0"/>
          <w:szCs w:val="21"/>
        </w:rPr>
        <w:t>3、请投标人根据实际情况如实声明，否则</w:t>
      </w:r>
      <w:r>
        <w:rPr>
          <w:rFonts w:hint="eastAsia" w:ascii="宋体" w:hAnsi="宋体" w:eastAsia="宋体" w:cs="宋体"/>
          <w:b/>
          <w:bCs/>
          <w:kern w:val="0"/>
          <w:szCs w:val="21"/>
        </w:rPr>
        <w:t>视为提供虚假材料。</w:t>
      </w:r>
    </w:p>
    <w:p w14:paraId="50ED4141">
      <w:pPr>
        <w:widowControl/>
        <w:spacing w:after="150"/>
        <w:jc w:val="left"/>
        <w:rPr>
          <w:rFonts w:ascii="宋体" w:hAnsi="宋体" w:eastAsia="宋体" w:cs="宋体"/>
          <w:kern w:val="0"/>
          <w:sz w:val="24"/>
          <w:szCs w:val="24"/>
        </w:rPr>
      </w:pPr>
      <w:r>
        <w:rPr>
          <w:rFonts w:ascii="Calibri" w:hAnsi="Calibri" w:eastAsia="宋体" w:cs="Calibri"/>
          <w:kern w:val="0"/>
          <w:szCs w:val="21"/>
        </w:rPr>
        <w:t> </w:t>
      </w:r>
    </w:p>
    <w:p w14:paraId="69B1AAC2">
      <w:pPr>
        <w:widowControl/>
        <w:spacing w:after="150"/>
        <w:jc w:val="left"/>
        <w:rPr>
          <w:rFonts w:ascii="宋体" w:hAnsi="宋体" w:eastAsia="宋体" w:cs="宋体"/>
          <w:kern w:val="0"/>
          <w:sz w:val="24"/>
          <w:szCs w:val="24"/>
        </w:rPr>
      </w:pPr>
      <w:r>
        <w:rPr>
          <w:rFonts w:ascii="Calibri" w:hAnsi="Calibri" w:eastAsia="宋体" w:cs="Calibri"/>
          <w:kern w:val="0"/>
          <w:szCs w:val="21"/>
        </w:rPr>
        <w:t> </w:t>
      </w:r>
    </w:p>
    <w:p w14:paraId="6C42A0DA">
      <w:pPr>
        <w:widowControl/>
        <w:spacing w:after="150"/>
        <w:jc w:val="left"/>
        <w:rPr>
          <w:rFonts w:ascii="宋体" w:hAnsi="宋体" w:eastAsia="宋体" w:cs="宋体"/>
          <w:kern w:val="0"/>
          <w:sz w:val="24"/>
          <w:szCs w:val="24"/>
        </w:rPr>
      </w:pPr>
      <w:r>
        <w:rPr>
          <w:rFonts w:hint="eastAsia" w:ascii="宋体" w:hAnsi="宋体" w:eastAsia="宋体" w:cs="宋体"/>
          <w:kern w:val="0"/>
          <w:szCs w:val="21"/>
        </w:rPr>
        <w:t>投标人：</w:t>
      </w:r>
      <w:r>
        <w:rPr>
          <w:rFonts w:hint="eastAsia" w:ascii="宋体" w:hAnsi="宋体" w:eastAsia="宋体" w:cs="宋体"/>
          <w:kern w:val="0"/>
          <w:szCs w:val="21"/>
          <w:u w:val="single"/>
        </w:rPr>
        <w:t>（全称并加盖单位公章）</w:t>
      </w:r>
    </w:p>
    <w:p w14:paraId="42662914">
      <w:pPr>
        <w:widowControl/>
        <w:spacing w:after="150"/>
        <w:jc w:val="left"/>
        <w:rPr>
          <w:rFonts w:ascii="宋体" w:hAnsi="宋体" w:eastAsia="宋体" w:cs="宋体"/>
          <w:kern w:val="0"/>
          <w:sz w:val="24"/>
          <w:szCs w:val="24"/>
        </w:rPr>
      </w:pPr>
      <w:r>
        <w:rPr>
          <w:rFonts w:hint="eastAsia" w:ascii="宋体" w:hAnsi="宋体" w:eastAsia="宋体" w:cs="宋体"/>
          <w:kern w:val="0"/>
          <w:szCs w:val="21"/>
        </w:rPr>
        <w:t>日期：</w:t>
      </w:r>
      <w:r>
        <w:rPr>
          <w:rFonts w:hint="eastAsia" w:ascii="宋体" w:hAnsi="宋体" w:eastAsia="宋体" w:cs="宋体"/>
          <w:kern w:val="0"/>
          <w:szCs w:val="21"/>
          <w:u w:val="single"/>
        </w:rPr>
        <w:t>    </w:t>
      </w:r>
      <w:r>
        <w:rPr>
          <w:rFonts w:hint="eastAsia" w:ascii="宋体" w:hAnsi="宋体" w:eastAsia="宋体" w:cs="宋体"/>
          <w:kern w:val="0"/>
          <w:szCs w:val="21"/>
        </w:rPr>
        <w:t>年</w:t>
      </w:r>
      <w:r>
        <w:rPr>
          <w:rFonts w:hint="eastAsia" w:ascii="宋体" w:hAnsi="宋体" w:eastAsia="宋体" w:cs="宋体"/>
          <w:kern w:val="0"/>
          <w:szCs w:val="21"/>
          <w:u w:val="single"/>
        </w:rPr>
        <w:t>   </w:t>
      </w:r>
      <w:r>
        <w:rPr>
          <w:rFonts w:hint="eastAsia" w:ascii="宋体" w:hAnsi="宋体" w:eastAsia="宋体" w:cs="宋体"/>
          <w:kern w:val="0"/>
          <w:szCs w:val="21"/>
        </w:rPr>
        <w:t>月</w:t>
      </w:r>
      <w:r>
        <w:rPr>
          <w:rFonts w:hint="eastAsia" w:ascii="宋体" w:hAnsi="宋体" w:eastAsia="宋体" w:cs="宋体"/>
          <w:kern w:val="0"/>
          <w:szCs w:val="21"/>
          <w:u w:val="single"/>
        </w:rPr>
        <w:t>   </w:t>
      </w:r>
      <w:r>
        <w:rPr>
          <w:rFonts w:hint="eastAsia" w:ascii="宋体" w:hAnsi="宋体" w:eastAsia="宋体" w:cs="宋体"/>
          <w:kern w:val="0"/>
          <w:szCs w:val="21"/>
        </w:rPr>
        <w:t>日</w:t>
      </w:r>
    </w:p>
    <w:p w14:paraId="1DAFCE71">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14:paraId="59DA7EAE">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14:paraId="7989F5C0">
      <w:pPr>
        <w:widowControl/>
        <w:spacing w:after="150"/>
        <w:jc w:val="center"/>
        <w:rPr>
          <w:rFonts w:ascii="宋体" w:hAnsi="宋体" w:eastAsia="宋体" w:cs="宋体"/>
          <w:kern w:val="0"/>
          <w:sz w:val="24"/>
          <w:szCs w:val="24"/>
        </w:rPr>
      </w:pPr>
      <w:r>
        <w:rPr>
          <w:rFonts w:ascii="Calibri" w:hAnsi="Calibri" w:eastAsia="宋体" w:cs="Calibri"/>
          <w:kern w:val="0"/>
          <w:szCs w:val="21"/>
        </w:rPr>
        <w:br w:type="textWrapping"/>
      </w:r>
      <w:r>
        <w:rPr>
          <w:rFonts w:hint="eastAsia" w:ascii="宋体" w:hAnsi="宋体" w:eastAsia="宋体" w:cs="宋体"/>
          <w:kern w:val="0"/>
          <w:szCs w:val="21"/>
        </w:rPr>
        <w:t>二</w:t>
      </w:r>
      <w:r>
        <w:rPr>
          <w:rFonts w:hint="eastAsia" w:ascii="宋体" w:hAnsi="宋体" w:eastAsia="宋体" w:cs="宋体"/>
          <w:b/>
          <w:bCs/>
          <w:kern w:val="0"/>
          <w:szCs w:val="21"/>
        </w:rPr>
        <w:t>-7参加采购活动前三年内在经营活动中没有重大违法记录书面声明</w:t>
      </w:r>
    </w:p>
    <w:p w14:paraId="6E6B1A30">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14:paraId="2572ADBB">
      <w:pPr>
        <w:widowControl/>
        <w:spacing w:after="150"/>
        <w:jc w:val="left"/>
        <w:rPr>
          <w:rFonts w:ascii="宋体" w:hAnsi="宋体" w:eastAsia="宋体" w:cs="宋体"/>
          <w:kern w:val="0"/>
          <w:sz w:val="24"/>
          <w:szCs w:val="24"/>
        </w:rPr>
      </w:pPr>
      <w:r>
        <w:rPr>
          <w:rFonts w:hint="eastAsia" w:ascii="宋体" w:hAnsi="宋体" w:eastAsia="宋体" w:cs="宋体"/>
          <w:kern w:val="0"/>
          <w:szCs w:val="21"/>
        </w:rPr>
        <w:t>致：</w:t>
      </w:r>
      <w:r>
        <w:rPr>
          <w:rFonts w:hint="eastAsia" w:ascii="宋体" w:hAnsi="宋体" w:eastAsia="宋体" w:cs="宋体"/>
          <w:kern w:val="0"/>
          <w:szCs w:val="21"/>
          <w:u w:val="single"/>
        </w:rPr>
        <w:t>           （采购人或采购代理机构） </w:t>
      </w:r>
    </w:p>
    <w:p w14:paraId="30BA968C">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参加采购活动前三年内，我方在经营活动中没有重大违法记录，即没有因违法经营受到刑事处罚或责令停产停业、吊销许可证或执照、较大数额罚款等行政处罚。否则产生不利后果由我方承担责任。</w:t>
      </w:r>
    </w:p>
    <w:p w14:paraId="7FE6330E">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特此声明。</w:t>
      </w:r>
    </w:p>
    <w:p w14:paraId="75AFC374">
      <w:pPr>
        <w:widowControl/>
        <w:spacing w:after="150"/>
        <w:jc w:val="left"/>
        <w:rPr>
          <w:rFonts w:ascii="宋体" w:hAnsi="宋体" w:eastAsia="宋体" w:cs="宋体"/>
          <w:kern w:val="0"/>
          <w:sz w:val="24"/>
          <w:szCs w:val="24"/>
        </w:rPr>
      </w:pPr>
      <w:r>
        <w:rPr>
          <w:rFonts w:ascii="Calibri" w:hAnsi="Calibri" w:eastAsia="宋体" w:cs="Calibri"/>
          <w:kern w:val="0"/>
          <w:szCs w:val="21"/>
        </w:rPr>
        <w:t> </w:t>
      </w:r>
    </w:p>
    <w:p w14:paraId="1A083BD6">
      <w:pPr>
        <w:widowControl/>
        <w:spacing w:after="150"/>
        <w:jc w:val="left"/>
        <w:rPr>
          <w:rFonts w:ascii="宋体" w:hAnsi="宋体" w:eastAsia="宋体" w:cs="宋体"/>
          <w:kern w:val="0"/>
          <w:sz w:val="24"/>
          <w:szCs w:val="24"/>
        </w:rPr>
      </w:pPr>
      <w:r>
        <w:rPr>
          <w:rFonts w:hint="eastAsia" w:ascii="宋体" w:hAnsi="宋体" w:eastAsia="宋体" w:cs="宋体"/>
          <w:kern w:val="0"/>
          <w:szCs w:val="21"/>
        </w:rPr>
        <w:t>※注意：</w:t>
      </w:r>
    </w:p>
    <w:p w14:paraId="36D49593">
      <w:pPr>
        <w:widowControl/>
        <w:spacing w:after="150"/>
        <w:jc w:val="left"/>
        <w:rPr>
          <w:rFonts w:ascii="宋体" w:hAnsi="宋体" w:eastAsia="宋体" w:cs="宋体"/>
          <w:kern w:val="0"/>
          <w:sz w:val="24"/>
          <w:szCs w:val="24"/>
        </w:rPr>
      </w:pPr>
      <w:r>
        <w:rPr>
          <w:rFonts w:hint="eastAsia" w:ascii="宋体" w:hAnsi="宋体" w:eastAsia="宋体" w:cs="宋体"/>
          <w:kern w:val="0"/>
          <w:szCs w:val="21"/>
        </w:rPr>
        <w:t>  “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339FE798">
      <w:pPr>
        <w:widowControl/>
        <w:spacing w:after="150"/>
        <w:jc w:val="left"/>
        <w:rPr>
          <w:rFonts w:ascii="宋体" w:hAnsi="宋体" w:eastAsia="宋体" w:cs="宋体"/>
          <w:kern w:val="0"/>
          <w:sz w:val="24"/>
          <w:szCs w:val="24"/>
        </w:rPr>
      </w:pPr>
      <w:r>
        <w:rPr>
          <w:rFonts w:hint="eastAsia" w:ascii="宋体" w:hAnsi="宋体" w:eastAsia="宋体" w:cs="宋体"/>
          <w:kern w:val="0"/>
          <w:szCs w:val="21"/>
        </w:rPr>
        <w:t>  请投标人根据实际情况如实声明，否则</w:t>
      </w:r>
      <w:r>
        <w:rPr>
          <w:rFonts w:hint="eastAsia" w:ascii="宋体" w:hAnsi="宋体" w:eastAsia="宋体" w:cs="宋体"/>
          <w:b/>
          <w:bCs/>
          <w:kern w:val="0"/>
          <w:szCs w:val="21"/>
        </w:rPr>
        <w:t>视为提供虚假材料。</w:t>
      </w:r>
    </w:p>
    <w:p w14:paraId="2577DBDA">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14:paraId="537E08E1">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14:paraId="51C5293F">
      <w:pPr>
        <w:widowControl/>
        <w:spacing w:after="150"/>
        <w:jc w:val="left"/>
        <w:rPr>
          <w:rFonts w:ascii="宋体" w:hAnsi="宋体" w:eastAsia="宋体" w:cs="宋体"/>
          <w:kern w:val="0"/>
          <w:sz w:val="24"/>
          <w:szCs w:val="24"/>
        </w:rPr>
      </w:pPr>
      <w:r>
        <w:rPr>
          <w:rFonts w:hint="eastAsia" w:ascii="宋体" w:hAnsi="宋体" w:eastAsia="宋体" w:cs="宋体"/>
          <w:kern w:val="0"/>
          <w:szCs w:val="21"/>
        </w:rPr>
        <w:t>投标人：</w:t>
      </w:r>
      <w:r>
        <w:rPr>
          <w:rFonts w:hint="eastAsia" w:ascii="宋体" w:hAnsi="宋体" w:eastAsia="宋体" w:cs="宋体"/>
          <w:kern w:val="0"/>
          <w:szCs w:val="21"/>
          <w:u w:val="single"/>
        </w:rPr>
        <w:t>（全称并加盖单位公章）</w:t>
      </w:r>
    </w:p>
    <w:p w14:paraId="001E3486">
      <w:pPr>
        <w:widowControl/>
        <w:spacing w:after="150"/>
        <w:jc w:val="left"/>
        <w:rPr>
          <w:rFonts w:ascii="宋体" w:hAnsi="宋体" w:eastAsia="宋体" w:cs="宋体"/>
          <w:kern w:val="0"/>
          <w:sz w:val="24"/>
          <w:szCs w:val="24"/>
        </w:rPr>
      </w:pPr>
      <w:r>
        <w:rPr>
          <w:rFonts w:hint="eastAsia" w:ascii="宋体" w:hAnsi="宋体" w:eastAsia="宋体" w:cs="宋体"/>
          <w:kern w:val="0"/>
          <w:szCs w:val="21"/>
        </w:rPr>
        <w:t>日期：</w:t>
      </w:r>
      <w:r>
        <w:rPr>
          <w:rFonts w:hint="eastAsia" w:ascii="宋体" w:hAnsi="宋体" w:eastAsia="宋体" w:cs="宋体"/>
          <w:kern w:val="0"/>
          <w:szCs w:val="21"/>
          <w:u w:val="single"/>
        </w:rPr>
        <w:t>    </w:t>
      </w:r>
      <w:r>
        <w:rPr>
          <w:rFonts w:hint="eastAsia" w:ascii="宋体" w:hAnsi="宋体" w:eastAsia="宋体" w:cs="宋体"/>
          <w:kern w:val="0"/>
          <w:szCs w:val="21"/>
        </w:rPr>
        <w:t>年</w:t>
      </w:r>
      <w:r>
        <w:rPr>
          <w:rFonts w:hint="eastAsia" w:ascii="宋体" w:hAnsi="宋体" w:eastAsia="宋体" w:cs="宋体"/>
          <w:kern w:val="0"/>
          <w:szCs w:val="21"/>
          <w:u w:val="single"/>
        </w:rPr>
        <w:t>   </w:t>
      </w:r>
      <w:r>
        <w:rPr>
          <w:rFonts w:hint="eastAsia" w:ascii="宋体" w:hAnsi="宋体" w:eastAsia="宋体" w:cs="宋体"/>
          <w:kern w:val="0"/>
          <w:szCs w:val="21"/>
        </w:rPr>
        <w:t>月</w:t>
      </w:r>
      <w:r>
        <w:rPr>
          <w:rFonts w:hint="eastAsia" w:ascii="宋体" w:hAnsi="宋体" w:eastAsia="宋体" w:cs="宋体"/>
          <w:kern w:val="0"/>
          <w:szCs w:val="21"/>
          <w:u w:val="single"/>
        </w:rPr>
        <w:t>   </w:t>
      </w:r>
      <w:r>
        <w:rPr>
          <w:rFonts w:hint="eastAsia" w:ascii="宋体" w:hAnsi="宋体" w:eastAsia="宋体" w:cs="宋体"/>
          <w:kern w:val="0"/>
          <w:szCs w:val="21"/>
        </w:rPr>
        <w:t>日</w:t>
      </w:r>
    </w:p>
    <w:p w14:paraId="04438877">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14:paraId="5E92064D">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14:paraId="48412E7B">
      <w:pPr>
        <w:widowControl/>
        <w:spacing w:after="150"/>
        <w:jc w:val="center"/>
        <w:rPr>
          <w:rFonts w:ascii="宋体" w:hAnsi="宋体" w:eastAsia="宋体" w:cs="宋体"/>
          <w:kern w:val="0"/>
          <w:sz w:val="24"/>
          <w:szCs w:val="24"/>
        </w:rPr>
      </w:pPr>
      <w:r>
        <w:rPr>
          <w:rFonts w:ascii="Calibri" w:hAnsi="Calibri" w:eastAsia="宋体" w:cs="Calibri"/>
          <w:kern w:val="0"/>
          <w:szCs w:val="21"/>
        </w:rPr>
        <w:br w:type="textWrapping"/>
      </w:r>
      <w:r>
        <w:rPr>
          <w:rFonts w:hint="eastAsia" w:ascii="宋体" w:hAnsi="宋体" w:eastAsia="宋体" w:cs="宋体"/>
          <w:kern w:val="0"/>
          <w:szCs w:val="21"/>
        </w:rPr>
        <w:t>二</w:t>
      </w:r>
      <w:r>
        <w:rPr>
          <w:rFonts w:hint="eastAsia" w:ascii="宋体" w:hAnsi="宋体" w:eastAsia="宋体" w:cs="宋体"/>
          <w:b/>
          <w:bCs/>
          <w:kern w:val="0"/>
          <w:szCs w:val="21"/>
        </w:rPr>
        <w:t>-8信用记录查询提示</w:t>
      </w:r>
    </w:p>
    <w:p w14:paraId="4F612A48">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14:paraId="14B98E28">
      <w:pPr>
        <w:widowControl/>
        <w:spacing w:after="150"/>
        <w:jc w:val="left"/>
        <w:rPr>
          <w:rFonts w:ascii="宋体" w:hAnsi="宋体" w:eastAsia="宋体" w:cs="宋体"/>
          <w:kern w:val="0"/>
          <w:sz w:val="24"/>
          <w:szCs w:val="24"/>
        </w:rPr>
      </w:pPr>
      <w:r>
        <w:rPr>
          <w:rFonts w:hint="eastAsia" w:ascii="宋体" w:hAnsi="宋体" w:eastAsia="宋体" w:cs="宋体"/>
          <w:kern w:val="0"/>
          <w:sz w:val="24"/>
          <w:szCs w:val="24"/>
        </w:rPr>
        <w:t>  1、由资格审查小组通过网站查询并打印投标人的信用记录。</w:t>
      </w:r>
    </w:p>
    <w:p w14:paraId="640701FE">
      <w:pPr>
        <w:widowControl/>
        <w:spacing w:after="150"/>
        <w:jc w:val="left"/>
        <w:rPr>
          <w:rFonts w:ascii="宋体" w:hAnsi="宋体" w:eastAsia="宋体" w:cs="宋体"/>
          <w:kern w:val="0"/>
          <w:sz w:val="24"/>
          <w:szCs w:val="24"/>
        </w:rPr>
      </w:pPr>
      <w:r>
        <w:rPr>
          <w:rFonts w:hint="eastAsia" w:ascii="宋体" w:hAnsi="宋体" w:eastAsia="宋体" w:cs="宋体"/>
          <w:kern w:val="0"/>
          <w:sz w:val="24"/>
          <w:szCs w:val="24"/>
        </w:rPr>
        <w:t>  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7BAA94D5">
      <w:pPr>
        <w:widowControl/>
        <w:spacing w:after="150"/>
        <w:jc w:val="left"/>
        <w:rPr>
          <w:rFonts w:ascii="宋体" w:hAnsi="宋体" w:eastAsia="宋体" w:cs="宋体"/>
          <w:kern w:val="0"/>
          <w:sz w:val="24"/>
          <w:szCs w:val="24"/>
        </w:rPr>
      </w:pPr>
      <w:r>
        <w:rPr>
          <w:rFonts w:hint="eastAsia" w:ascii="宋体" w:hAnsi="宋体" w:eastAsia="宋体" w:cs="宋体"/>
          <w:kern w:val="0"/>
          <w:sz w:val="24"/>
          <w:szCs w:val="24"/>
        </w:rPr>
        <w:t>  3、投标人应了解投标人自身的信用记录情况。当投标人受到200万以上罚款的行政处罚且该罚款不属较大数额罚款时，投标人应在投标文件中提供此项罚款不属于较大数额罚款的依据（如提供：相关法律制度的规定、行政执法机构对该罚款不属于较大数额罚款的认定或者其他有效依据）。</w:t>
      </w:r>
    </w:p>
    <w:p w14:paraId="7225EAFD">
      <w:pPr>
        <w:widowControl/>
        <w:spacing w:after="150"/>
        <w:jc w:val="left"/>
        <w:rPr>
          <w:rFonts w:ascii="宋体" w:hAnsi="宋体" w:eastAsia="宋体" w:cs="宋体"/>
          <w:kern w:val="0"/>
          <w:sz w:val="24"/>
          <w:szCs w:val="24"/>
        </w:rPr>
      </w:pPr>
    </w:p>
    <w:p w14:paraId="0A4CFD89">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14:paraId="30F48F4D">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14:paraId="1D6521C8">
      <w:pPr>
        <w:widowControl/>
        <w:spacing w:after="150"/>
        <w:jc w:val="center"/>
        <w:rPr>
          <w:rFonts w:ascii="宋体" w:hAnsi="宋体" w:eastAsia="宋体" w:cs="宋体"/>
          <w:kern w:val="0"/>
          <w:sz w:val="24"/>
          <w:szCs w:val="24"/>
        </w:rPr>
      </w:pPr>
      <w:r>
        <w:rPr>
          <w:rFonts w:ascii="Calibri" w:hAnsi="Calibri" w:eastAsia="宋体" w:cs="Calibri"/>
          <w:b/>
          <w:bCs/>
          <w:kern w:val="0"/>
          <w:szCs w:val="21"/>
        </w:rPr>
        <w:br w:type="textWrapping"/>
      </w:r>
    </w:p>
    <w:p w14:paraId="114A8BD8">
      <w:pPr>
        <w:widowControl/>
        <w:spacing w:before="150" w:after="150"/>
        <w:jc w:val="center"/>
        <w:outlineLvl w:val="3"/>
        <w:rPr>
          <w:rFonts w:ascii="Helvetica" w:hAnsi="Helvetica" w:eastAsia="宋体" w:cs="Helvetica"/>
          <w:kern w:val="0"/>
          <w:sz w:val="27"/>
          <w:szCs w:val="27"/>
        </w:rPr>
      </w:pPr>
      <w:r>
        <w:rPr>
          <w:rFonts w:hint="eastAsia" w:ascii="宋体" w:hAnsi="宋体" w:eastAsia="宋体" w:cs="Helvetica"/>
          <w:b/>
          <w:bCs/>
          <w:kern w:val="0"/>
          <w:sz w:val="27"/>
          <w:szCs w:val="27"/>
        </w:rPr>
        <w:t>二-9中小企业声明函</w:t>
      </w:r>
    </w:p>
    <w:p w14:paraId="097C7D89">
      <w:pPr>
        <w:widowControl/>
        <w:spacing w:after="150"/>
        <w:jc w:val="center"/>
        <w:rPr>
          <w:rFonts w:ascii="宋体" w:hAnsi="宋体" w:eastAsia="宋体" w:cs="宋体"/>
          <w:kern w:val="0"/>
          <w:sz w:val="24"/>
          <w:szCs w:val="24"/>
        </w:rPr>
      </w:pPr>
      <w:r>
        <w:rPr>
          <w:rFonts w:hint="eastAsia" w:ascii="宋体" w:hAnsi="宋体" w:eastAsia="宋体" w:cs="宋体"/>
          <w:b/>
          <w:bCs/>
          <w:kern w:val="0"/>
          <w:szCs w:val="21"/>
        </w:rPr>
        <w:t>（以资格条件落实中小企业扶持政策时适用，若有）</w:t>
      </w:r>
      <w:r>
        <w:rPr>
          <w:rFonts w:hint="eastAsia" w:ascii="宋体" w:hAnsi="宋体" w:eastAsia="宋体" w:cs="宋体"/>
          <w:b/>
          <w:bCs/>
          <w:kern w:val="0"/>
          <w:szCs w:val="21"/>
        </w:rPr>
        <w:br w:type="textWrapping"/>
      </w:r>
      <w:r>
        <w:rPr>
          <w:rFonts w:hint="eastAsia" w:ascii="宋体" w:hAnsi="宋体" w:eastAsia="宋体" w:cs="宋体"/>
          <w:b/>
          <w:bCs/>
          <w:kern w:val="0"/>
          <w:szCs w:val="21"/>
        </w:rPr>
        <w:br w:type="textWrapping"/>
      </w:r>
    </w:p>
    <w:p w14:paraId="1DEC3E6B">
      <w:pPr>
        <w:widowControl/>
        <w:spacing w:after="150"/>
        <w:jc w:val="center"/>
        <w:rPr>
          <w:rFonts w:ascii="宋体" w:hAnsi="宋体" w:eastAsia="宋体" w:cs="宋体"/>
          <w:kern w:val="0"/>
          <w:sz w:val="24"/>
          <w:szCs w:val="24"/>
        </w:rPr>
      </w:pPr>
      <w:r>
        <w:rPr>
          <w:rFonts w:hint="eastAsia" w:ascii="宋体" w:hAnsi="宋体" w:eastAsia="宋体" w:cs="宋体"/>
          <w:b/>
          <w:bCs/>
          <w:kern w:val="0"/>
          <w:szCs w:val="21"/>
        </w:rPr>
        <w:t>中小企业声明函（货物）</w:t>
      </w:r>
    </w:p>
    <w:p w14:paraId="6FC47063">
      <w:pPr>
        <w:widowControl/>
        <w:spacing w:before="75" w:after="75"/>
        <w:ind w:firstLine="420"/>
        <w:jc w:val="left"/>
        <w:rPr>
          <w:rFonts w:ascii="宋体" w:hAnsi="宋体" w:eastAsia="宋体" w:cs="宋体"/>
          <w:kern w:val="0"/>
          <w:sz w:val="24"/>
          <w:szCs w:val="24"/>
        </w:rPr>
      </w:pPr>
      <w:r>
        <w:rPr>
          <w:rFonts w:hint="eastAsia" w:ascii="宋体" w:hAnsi="宋体" w:eastAsia="宋体" w:cs="宋体"/>
          <w:kern w:val="0"/>
          <w:szCs w:val="21"/>
        </w:rPr>
        <w:t>本公司（联合体）郑重声明，根据《政府采购促进中小企业发展管理办法》（财库﹝2020﹞46 号）的规定，本公司（联合体）参加</w:t>
      </w:r>
      <w:r>
        <w:rPr>
          <w:rFonts w:hint="eastAsia" w:ascii="宋体" w:hAnsi="宋体" w:eastAsia="宋体" w:cs="宋体"/>
          <w:kern w:val="0"/>
          <w:szCs w:val="21"/>
          <w:u w:val="single"/>
        </w:rPr>
        <w:t>（单位名称）</w:t>
      </w:r>
      <w:r>
        <w:rPr>
          <w:rFonts w:hint="eastAsia" w:ascii="宋体" w:hAnsi="宋体" w:eastAsia="宋体" w:cs="宋体"/>
          <w:kern w:val="0"/>
          <w:szCs w:val="21"/>
        </w:rPr>
        <w:t>的</w:t>
      </w:r>
      <w:r>
        <w:rPr>
          <w:rFonts w:hint="eastAsia" w:ascii="宋体" w:hAnsi="宋体" w:eastAsia="宋体" w:cs="宋体"/>
          <w:kern w:val="0"/>
          <w:szCs w:val="21"/>
          <w:u w:val="single"/>
        </w:rPr>
        <w:t>（项目名称）</w:t>
      </w:r>
      <w:r>
        <w:rPr>
          <w:rFonts w:hint="eastAsia" w:ascii="宋体" w:hAnsi="宋体" w:eastAsia="宋体" w:cs="宋体"/>
          <w:kern w:val="0"/>
          <w:szCs w:val="21"/>
        </w:rPr>
        <w:t>采购活动，提供的货物全部由符合政策要求的中小企业制造。相关企业（含联合体中的中小企业、签订分包意向协议的中小企业）的具体情况如下：</w:t>
      </w:r>
    </w:p>
    <w:p w14:paraId="5D1A9CA5">
      <w:pPr>
        <w:widowControl/>
        <w:spacing w:before="75" w:after="75"/>
        <w:ind w:firstLine="420"/>
        <w:jc w:val="left"/>
        <w:rPr>
          <w:rFonts w:ascii="宋体" w:hAnsi="宋体" w:eastAsia="宋体" w:cs="宋体"/>
          <w:kern w:val="0"/>
          <w:sz w:val="24"/>
          <w:szCs w:val="24"/>
        </w:rPr>
      </w:pPr>
      <w:r>
        <w:rPr>
          <w:rFonts w:hint="eastAsia" w:ascii="宋体" w:hAnsi="宋体" w:eastAsia="宋体" w:cs="宋体"/>
          <w:kern w:val="0"/>
          <w:szCs w:val="21"/>
        </w:rPr>
        <w:t>1. </w:t>
      </w:r>
      <w:r>
        <w:rPr>
          <w:rFonts w:hint="eastAsia" w:ascii="宋体" w:hAnsi="宋体" w:eastAsia="宋体" w:cs="宋体"/>
          <w:kern w:val="0"/>
          <w:szCs w:val="21"/>
          <w:u w:val="single"/>
        </w:rPr>
        <w:t> （标的名称） </w:t>
      </w:r>
      <w:r>
        <w:rPr>
          <w:rFonts w:hint="eastAsia" w:ascii="宋体" w:hAnsi="宋体" w:eastAsia="宋体" w:cs="宋体"/>
          <w:kern w:val="0"/>
          <w:szCs w:val="21"/>
        </w:rPr>
        <w:t>，属于</w:t>
      </w:r>
      <w:r>
        <w:rPr>
          <w:rFonts w:hint="eastAsia" w:ascii="宋体" w:hAnsi="宋体" w:eastAsia="宋体" w:cs="宋体"/>
          <w:kern w:val="0"/>
          <w:szCs w:val="21"/>
          <w:u w:val="single"/>
        </w:rPr>
        <w:t>（采购文件中明确的所属行业）行业</w:t>
      </w:r>
      <w:r>
        <w:rPr>
          <w:rFonts w:hint="eastAsia" w:ascii="宋体" w:hAnsi="宋体" w:eastAsia="宋体" w:cs="宋体"/>
          <w:kern w:val="0"/>
          <w:szCs w:val="21"/>
        </w:rPr>
        <w:t>；制造商为</w:t>
      </w:r>
      <w:r>
        <w:rPr>
          <w:rFonts w:hint="eastAsia" w:ascii="宋体" w:hAnsi="宋体" w:eastAsia="宋体" w:cs="宋体"/>
          <w:kern w:val="0"/>
          <w:szCs w:val="21"/>
          <w:u w:val="single"/>
        </w:rPr>
        <w:t>（企业名称）</w:t>
      </w:r>
      <w:r>
        <w:rPr>
          <w:rFonts w:hint="eastAsia" w:ascii="宋体" w:hAnsi="宋体" w:eastAsia="宋体" w:cs="宋体"/>
          <w:kern w:val="0"/>
          <w:szCs w:val="21"/>
        </w:rPr>
        <w:t>，从业人员</w:t>
      </w:r>
      <w:r>
        <w:rPr>
          <w:rFonts w:hint="eastAsia" w:ascii="宋体" w:hAnsi="宋体" w:eastAsia="宋体" w:cs="宋体"/>
          <w:kern w:val="0"/>
          <w:szCs w:val="21"/>
          <w:u w:val="single"/>
        </w:rPr>
        <w:t>  </w:t>
      </w:r>
      <w:r>
        <w:rPr>
          <w:rFonts w:hint="eastAsia" w:ascii="宋体" w:hAnsi="宋体" w:eastAsia="宋体" w:cs="宋体"/>
          <w:kern w:val="0"/>
          <w:szCs w:val="21"/>
        </w:rPr>
        <w:t>人，营业收入为</w:t>
      </w:r>
      <w:r>
        <w:rPr>
          <w:rFonts w:hint="eastAsia" w:ascii="宋体" w:hAnsi="宋体" w:eastAsia="宋体" w:cs="宋体"/>
          <w:kern w:val="0"/>
          <w:szCs w:val="21"/>
          <w:u w:val="single"/>
        </w:rPr>
        <w:t>  </w:t>
      </w:r>
      <w:r>
        <w:rPr>
          <w:rFonts w:hint="eastAsia" w:ascii="宋体" w:hAnsi="宋体" w:eastAsia="宋体" w:cs="宋体"/>
          <w:kern w:val="0"/>
          <w:szCs w:val="21"/>
        </w:rPr>
        <w:t>万元，资产总额为</w:t>
      </w:r>
      <w:r>
        <w:rPr>
          <w:rFonts w:hint="eastAsia" w:ascii="宋体" w:hAnsi="宋体" w:eastAsia="宋体" w:cs="宋体"/>
          <w:kern w:val="0"/>
          <w:szCs w:val="21"/>
          <w:u w:val="single"/>
        </w:rPr>
        <w:t>  </w:t>
      </w:r>
      <w:r>
        <w:rPr>
          <w:rFonts w:hint="eastAsia" w:ascii="宋体" w:hAnsi="宋体" w:eastAsia="宋体" w:cs="宋体"/>
          <w:kern w:val="0"/>
          <w:szCs w:val="21"/>
        </w:rPr>
        <w:t>万元</w:t>
      </w:r>
      <w:r>
        <w:rPr>
          <w:rFonts w:hint="eastAsia" w:ascii="宋体" w:hAnsi="宋体" w:eastAsia="宋体" w:cs="宋体"/>
          <w:kern w:val="0"/>
          <w:szCs w:val="21"/>
          <w:vertAlign w:val="superscript"/>
        </w:rPr>
        <w:t>1</w:t>
      </w:r>
      <w:r>
        <w:rPr>
          <w:rFonts w:hint="eastAsia" w:ascii="宋体" w:hAnsi="宋体" w:eastAsia="宋体" w:cs="宋体"/>
          <w:kern w:val="0"/>
          <w:szCs w:val="21"/>
        </w:rPr>
        <w:t>，属于</w:t>
      </w:r>
      <w:r>
        <w:rPr>
          <w:rFonts w:hint="eastAsia" w:ascii="宋体" w:hAnsi="宋体" w:eastAsia="宋体" w:cs="宋体"/>
          <w:kern w:val="0"/>
          <w:szCs w:val="21"/>
          <w:u w:val="single"/>
        </w:rPr>
        <w:t>（中型企业、小型企业、微型企业）；</w:t>
      </w:r>
    </w:p>
    <w:p w14:paraId="68DFA982">
      <w:pPr>
        <w:widowControl/>
        <w:spacing w:before="75" w:after="75"/>
        <w:ind w:firstLine="420"/>
        <w:jc w:val="left"/>
        <w:rPr>
          <w:rFonts w:ascii="宋体" w:hAnsi="宋体" w:eastAsia="宋体" w:cs="宋体"/>
          <w:kern w:val="0"/>
          <w:sz w:val="24"/>
          <w:szCs w:val="24"/>
        </w:rPr>
      </w:pPr>
      <w:r>
        <w:rPr>
          <w:rFonts w:hint="eastAsia" w:ascii="宋体" w:hAnsi="宋体" w:eastAsia="宋体" w:cs="宋体"/>
          <w:kern w:val="0"/>
          <w:szCs w:val="21"/>
        </w:rPr>
        <w:t>2. </w:t>
      </w:r>
      <w:r>
        <w:rPr>
          <w:rFonts w:hint="eastAsia" w:ascii="宋体" w:hAnsi="宋体" w:eastAsia="宋体" w:cs="宋体"/>
          <w:kern w:val="0"/>
          <w:szCs w:val="21"/>
          <w:u w:val="single"/>
        </w:rPr>
        <w:t> （标的名称） </w:t>
      </w:r>
      <w:r>
        <w:rPr>
          <w:rFonts w:hint="eastAsia" w:ascii="宋体" w:hAnsi="宋体" w:eastAsia="宋体" w:cs="宋体"/>
          <w:kern w:val="0"/>
          <w:szCs w:val="21"/>
        </w:rPr>
        <w:t>，属于</w:t>
      </w:r>
      <w:r>
        <w:rPr>
          <w:rFonts w:hint="eastAsia" w:ascii="宋体" w:hAnsi="宋体" w:eastAsia="宋体" w:cs="宋体"/>
          <w:kern w:val="0"/>
          <w:szCs w:val="21"/>
          <w:u w:val="single"/>
        </w:rPr>
        <w:t> （采购文件中明确的所属行业 ）行业；</w:t>
      </w:r>
      <w:r>
        <w:rPr>
          <w:rFonts w:hint="eastAsia" w:ascii="宋体" w:hAnsi="宋体" w:eastAsia="宋体" w:cs="宋体"/>
          <w:kern w:val="0"/>
          <w:szCs w:val="21"/>
        </w:rPr>
        <w:t>制造商为</w:t>
      </w:r>
      <w:r>
        <w:rPr>
          <w:rFonts w:hint="eastAsia" w:ascii="宋体" w:hAnsi="宋体" w:eastAsia="宋体" w:cs="宋体"/>
          <w:kern w:val="0"/>
          <w:szCs w:val="21"/>
          <w:u w:val="single"/>
        </w:rPr>
        <w:t>（企业名称），</w:t>
      </w:r>
      <w:r>
        <w:rPr>
          <w:rFonts w:hint="eastAsia" w:ascii="宋体" w:hAnsi="宋体" w:eastAsia="宋体" w:cs="宋体"/>
          <w:kern w:val="0"/>
          <w:szCs w:val="21"/>
        </w:rPr>
        <w:t>从业人员</w:t>
      </w:r>
      <w:r>
        <w:rPr>
          <w:rFonts w:hint="eastAsia" w:ascii="宋体" w:hAnsi="宋体" w:eastAsia="宋体" w:cs="宋体"/>
          <w:kern w:val="0"/>
          <w:szCs w:val="21"/>
          <w:u w:val="single"/>
        </w:rPr>
        <w:t>  </w:t>
      </w:r>
      <w:r>
        <w:rPr>
          <w:rFonts w:hint="eastAsia" w:ascii="宋体" w:hAnsi="宋体" w:eastAsia="宋体" w:cs="宋体"/>
          <w:kern w:val="0"/>
          <w:szCs w:val="21"/>
        </w:rPr>
        <w:t>人，营业收入为</w:t>
      </w:r>
      <w:r>
        <w:rPr>
          <w:rFonts w:hint="eastAsia" w:ascii="宋体" w:hAnsi="宋体" w:eastAsia="宋体" w:cs="宋体"/>
          <w:kern w:val="0"/>
          <w:szCs w:val="21"/>
          <w:u w:val="single"/>
        </w:rPr>
        <w:t>  </w:t>
      </w:r>
      <w:r>
        <w:rPr>
          <w:rFonts w:hint="eastAsia" w:ascii="宋体" w:hAnsi="宋体" w:eastAsia="宋体" w:cs="宋体"/>
          <w:kern w:val="0"/>
          <w:szCs w:val="21"/>
        </w:rPr>
        <w:t>万元，资产总额为</w:t>
      </w:r>
      <w:r>
        <w:rPr>
          <w:rFonts w:hint="eastAsia" w:ascii="宋体" w:hAnsi="宋体" w:eastAsia="宋体" w:cs="宋体"/>
          <w:kern w:val="0"/>
          <w:szCs w:val="21"/>
          <w:u w:val="single"/>
        </w:rPr>
        <w:t>  </w:t>
      </w:r>
      <w:r>
        <w:rPr>
          <w:rFonts w:hint="eastAsia" w:ascii="宋体" w:hAnsi="宋体" w:eastAsia="宋体" w:cs="宋体"/>
          <w:kern w:val="0"/>
          <w:szCs w:val="21"/>
        </w:rPr>
        <w:t>万元，属于</w:t>
      </w:r>
      <w:r>
        <w:rPr>
          <w:rFonts w:hint="eastAsia" w:ascii="宋体" w:hAnsi="宋体" w:eastAsia="宋体" w:cs="宋体"/>
          <w:kern w:val="0"/>
          <w:szCs w:val="21"/>
          <w:u w:val="single"/>
        </w:rPr>
        <w:t>（中型企业、小型企业、微型企业）；</w:t>
      </w:r>
    </w:p>
    <w:p w14:paraId="75E2E446">
      <w:pPr>
        <w:widowControl/>
        <w:spacing w:before="75" w:after="75"/>
        <w:ind w:firstLine="420"/>
        <w:jc w:val="left"/>
        <w:rPr>
          <w:rFonts w:ascii="宋体" w:hAnsi="宋体" w:eastAsia="宋体" w:cs="宋体"/>
          <w:kern w:val="0"/>
          <w:sz w:val="24"/>
          <w:szCs w:val="24"/>
        </w:rPr>
      </w:pPr>
      <w:r>
        <w:rPr>
          <w:rFonts w:ascii="Calibri" w:hAnsi="Calibri" w:eastAsia="宋体" w:cs="Calibri"/>
          <w:kern w:val="0"/>
          <w:sz w:val="24"/>
          <w:szCs w:val="24"/>
        </w:rPr>
        <w:t>  </w:t>
      </w:r>
    </w:p>
    <w:p w14:paraId="3D78FA65">
      <w:pPr>
        <w:widowControl/>
        <w:spacing w:before="75" w:after="75"/>
        <w:ind w:firstLine="420"/>
        <w:jc w:val="left"/>
        <w:rPr>
          <w:rFonts w:ascii="宋体" w:hAnsi="宋体" w:eastAsia="宋体" w:cs="宋体"/>
          <w:kern w:val="0"/>
          <w:sz w:val="24"/>
          <w:szCs w:val="24"/>
        </w:rPr>
      </w:pPr>
      <w:r>
        <w:rPr>
          <w:rFonts w:hint="eastAsia" w:ascii="宋体" w:hAnsi="宋体" w:eastAsia="宋体" w:cs="宋体"/>
          <w:kern w:val="0"/>
          <w:szCs w:val="21"/>
        </w:rPr>
        <w:t>……</w:t>
      </w:r>
    </w:p>
    <w:p w14:paraId="51E9D2E6">
      <w:pPr>
        <w:widowControl/>
        <w:spacing w:before="75" w:after="75"/>
        <w:ind w:firstLine="420"/>
        <w:jc w:val="left"/>
        <w:rPr>
          <w:rFonts w:ascii="宋体" w:hAnsi="宋体" w:eastAsia="宋体" w:cs="宋体"/>
          <w:kern w:val="0"/>
          <w:sz w:val="24"/>
          <w:szCs w:val="24"/>
        </w:rPr>
      </w:pPr>
      <w:r>
        <w:rPr>
          <w:rFonts w:hint="eastAsia" w:ascii="宋体" w:hAnsi="宋体" w:eastAsia="宋体" w:cs="宋体"/>
          <w:kern w:val="0"/>
          <w:szCs w:val="21"/>
        </w:rPr>
        <w:t> </w:t>
      </w:r>
    </w:p>
    <w:p w14:paraId="1C833A5A">
      <w:pPr>
        <w:widowControl/>
        <w:spacing w:before="75" w:after="75"/>
        <w:ind w:firstLine="420"/>
        <w:jc w:val="left"/>
        <w:rPr>
          <w:rFonts w:ascii="宋体" w:hAnsi="宋体" w:eastAsia="宋体" w:cs="宋体"/>
          <w:kern w:val="0"/>
          <w:sz w:val="24"/>
          <w:szCs w:val="24"/>
        </w:rPr>
      </w:pPr>
      <w:r>
        <w:rPr>
          <w:rFonts w:hint="eastAsia" w:ascii="宋体" w:hAnsi="宋体" w:eastAsia="宋体" w:cs="宋体"/>
          <w:kern w:val="0"/>
          <w:szCs w:val="21"/>
        </w:rPr>
        <w:t>以上企业，不属于大企业的分支机构，不存在控股股东为大企业的情形，也不存在与大企业的负责人为同一人的情形。</w:t>
      </w:r>
    </w:p>
    <w:p w14:paraId="1C315F97">
      <w:pPr>
        <w:widowControl/>
        <w:spacing w:before="75" w:after="75"/>
        <w:ind w:firstLine="420"/>
        <w:jc w:val="left"/>
        <w:rPr>
          <w:rFonts w:ascii="宋体" w:hAnsi="宋体" w:eastAsia="宋体" w:cs="宋体"/>
          <w:kern w:val="0"/>
          <w:sz w:val="24"/>
          <w:szCs w:val="24"/>
        </w:rPr>
      </w:pPr>
      <w:r>
        <w:rPr>
          <w:rFonts w:hint="eastAsia" w:ascii="宋体" w:hAnsi="宋体" w:eastAsia="宋体" w:cs="宋体"/>
          <w:kern w:val="0"/>
          <w:szCs w:val="21"/>
        </w:rPr>
        <w:t> </w:t>
      </w:r>
    </w:p>
    <w:p w14:paraId="6BC3375B">
      <w:pPr>
        <w:widowControl/>
        <w:spacing w:before="75" w:after="75"/>
        <w:ind w:firstLine="420"/>
        <w:jc w:val="left"/>
        <w:rPr>
          <w:rFonts w:ascii="宋体" w:hAnsi="宋体" w:eastAsia="宋体" w:cs="宋体"/>
          <w:kern w:val="0"/>
          <w:sz w:val="24"/>
          <w:szCs w:val="24"/>
        </w:rPr>
      </w:pPr>
      <w:r>
        <w:rPr>
          <w:rFonts w:hint="eastAsia" w:ascii="宋体" w:hAnsi="宋体" w:eastAsia="宋体" w:cs="宋体"/>
          <w:kern w:val="0"/>
          <w:szCs w:val="21"/>
        </w:rPr>
        <w:t>本企业对上述声明内容的真实性负责。如有虚假，将依法承担相应责任。</w:t>
      </w:r>
    </w:p>
    <w:p w14:paraId="52F64F23">
      <w:pPr>
        <w:widowControl/>
        <w:spacing w:before="75" w:after="75"/>
        <w:ind w:firstLine="420"/>
        <w:jc w:val="left"/>
        <w:rPr>
          <w:rFonts w:ascii="宋体" w:hAnsi="宋体" w:eastAsia="宋体" w:cs="宋体"/>
          <w:kern w:val="0"/>
          <w:sz w:val="24"/>
          <w:szCs w:val="24"/>
        </w:rPr>
      </w:pPr>
      <w:r>
        <w:rPr>
          <w:rFonts w:hint="eastAsia" w:ascii="宋体" w:hAnsi="宋体" w:eastAsia="宋体" w:cs="宋体"/>
          <w:kern w:val="0"/>
          <w:szCs w:val="21"/>
        </w:rPr>
        <w:br w:type="textWrapping"/>
      </w:r>
      <w:r>
        <w:rPr>
          <w:rFonts w:hint="eastAsia" w:ascii="宋体" w:hAnsi="宋体" w:eastAsia="宋体" w:cs="宋体"/>
          <w:kern w:val="0"/>
          <w:szCs w:val="21"/>
        </w:rPr>
        <w:t>   企业名称（盖章）：</w:t>
      </w:r>
    </w:p>
    <w:p w14:paraId="07A404DC">
      <w:pPr>
        <w:widowControl/>
        <w:spacing w:before="75" w:after="75"/>
        <w:ind w:firstLine="420"/>
        <w:jc w:val="left"/>
        <w:rPr>
          <w:rFonts w:ascii="宋体" w:hAnsi="宋体" w:eastAsia="宋体" w:cs="宋体"/>
          <w:kern w:val="0"/>
          <w:sz w:val="24"/>
          <w:szCs w:val="24"/>
        </w:rPr>
      </w:pPr>
      <w:r>
        <w:rPr>
          <w:rFonts w:hint="eastAsia" w:ascii="宋体" w:hAnsi="宋体" w:eastAsia="宋体" w:cs="宋体"/>
          <w:kern w:val="0"/>
          <w:szCs w:val="21"/>
        </w:rPr>
        <w:t>                                                           日期：</w:t>
      </w:r>
    </w:p>
    <w:p w14:paraId="6A4F0A14">
      <w:pPr>
        <w:widowControl/>
        <w:spacing w:before="75" w:after="75"/>
        <w:jc w:val="left"/>
        <w:rPr>
          <w:rFonts w:ascii="宋体" w:hAnsi="宋体" w:eastAsia="宋体" w:cs="宋体"/>
          <w:kern w:val="0"/>
          <w:sz w:val="24"/>
          <w:szCs w:val="24"/>
        </w:rPr>
      </w:pPr>
      <w:r>
        <w:rPr>
          <w:rFonts w:ascii="Calibri" w:hAnsi="Calibri" w:eastAsia="宋体" w:cs="Calibri"/>
          <w:kern w:val="0"/>
          <w:szCs w:val="21"/>
        </w:rPr>
        <w:t> </w:t>
      </w:r>
    </w:p>
    <w:p w14:paraId="70667186">
      <w:pPr>
        <w:widowControl/>
        <w:spacing w:before="75" w:after="75"/>
        <w:jc w:val="left"/>
        <w:rPr>
          <w:rFonts w:ascii="宋体" w:hAnsi="宋体" w:eastAsia="宋体" w:cs="宋体"/>
          <w:kern w:val="0"/>
          <w:sz w:val="24"/>
          <w:szCs w:val="24"/>
        </w:rPr>
      </w:pPr>
      <w:r>
        <w:rPr>
          <w:rFonts w:hint="eastAsia" w:ascii="宋体" w:hAnsi="宋体" w:eastAsia="宋体" w:cs="宋体"/>
          <w:b/>
          <w:bCs/>
          <w:kern w:val="0"/>
          <w:szCs w:val="21"/>
        </w:rPr>
        <w:t>※注意：</w:t>
      </w:r>
    </w:p>
    <w:p w14:paraId="24876F36">
      <w:pPr>
        <w:widowControl/>
        <w:spacing w:before="75" w:after="75"/>
        <w:ind w:firstLine="420"/>
        <w:jc w:val="left"/>
        <w:rPr>
          <w:rFonts w:ascii="宋体" w:hAnsi="宋体" w:eastAsia="宋体" w:cs="宋体"/>
          <w:kern w:val="0"/>
          <w:sz w:val="24"/>
          <w:szCs w:val="24"/>
        </w:rPr>
      </w:pPr>
      <w:r>
        <w:rPr>
          <w:rFonts w:hint="eastAsia" w:ascii="宋体" w:hAnsi="宋体" w:eastAsia="宋体" w:cs="宋体"/>
          <w:b/>
          <w:bCs/>
          <w:kern w:val="0"/>
          <w:szCs w:val="21"/>
        </w:rPr>
        <w:t>1、从业人员、营业收入、资产总额填报上一年度数据，无上一年度数据的新成立企业可不填报。</w:t>
      </w:r>
    </w:p>
    <w:p w14:paraId="0AEA4A1C">
      <w:pPr>
        <w:widowControl/>
        <w:spacing w:before="75" w:after="75"/>
        <w:ind w:firstLine="420"/>
        <w:jc w:val="left"/>
        <w:rPr>
          <w:rFonts w:ascii="宋体" w:hAnsi="宋体" w:eastAsia="宋体" w:cs="宋体"/>
          <w:kern w:val="0"/>
          <w:sz w:val="24"/>
          <w:szCs w:val="24"/>
        </w:rPr>
      </w:pPr>
      <w:r>
        <w:rPr>
          <w:rFonts w:hint="eastAsia" w:ascii="宋体" w:hAnsi="宋体" w:eastAsia="宋体" w:cs="宋体"/>
          <w:b/>
          <w:bCs/>
          <w:kern w:val="0"/>
          <w:szCs w:val="21"/>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4D30C8B1">
      <w:pPr>
        <w:widowControl/>
        <w:spacing w:before="75" w:after="75"/>
        <w:ind w:firstLine="420"/>
        <w:jc w:val="left"/>
        <w:rPr>
          <w:rFonts w:ascii="宋体" w:hAnsi="宋体" w:eastAsia="宋体" w:cs="宋体"/>
          <w:kern w:val="0"/>
          <w:sz w:val="24"/>
          <w:szCs w:val="24"/>
        </w:rPr>
      </w:pPr>
      <w:r>
        <w:rPr>
          <w:rFonts w:hint="eastAsia" w:ascii="宋体" w:hAnsi="宋体" w:eastAsia="宋体" w:cs="宋体"/>
          <w:b/>
          <w:bCs/>
          <w:kern w:val="0"/>
          <w:szCs w:val="21"/>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2CD6881F">
      <w:pPr>
        <w:widowControl/>
        <w:spacing w:after="150"/>
        <w:jc w:val="left"/>
        <w:rPr>
          <w:rFonts w:ascii="宋体" w:hAnsi="宋体" w:eastAsia="宋体" w:cs="宋体"/>
          <w:kern w:val="0"/>
          <w:sz w:val="24"/>
          <w:szCs w:val="24"/>
        </w:rPr>
      </w:pPr>
      <w:r>
        <w:rPr>
          <w:rFonts w:hint="eastAsia" w:ascii="宋体" w:hAnsi="宋体" w:eastAsia="宋体" w:cs="宋体"/>
          <w:kern w:val="0"/>
          <w:szCs w:val="21"/>
        </w:rPr>
        <w:br w:type="textWrapping"/>
      </w:r>
      <w:r>
        <w:rPr>
          <w:rFonts w:hint="eastAsia" w:ascii="宋体" w:hAnsi="宋体" w:eastAsia="宋体" w:cs="宋体"/>
          <w:kern w:val="0"/>
          <w:szCs w:val="21"/>
        </w:rPr>
        <w:br w:type="textWrapping"/>
      </w:r>
    </w:p>
    <w:p w14:paraId="5255CBC8">
      <w:pPr>
        <w:widowControl/>
        <w:spacing w:before="150" w:after="150"/>
        <w:jc w:val="center"/>
        <w:outlineLvl w:val="4"/>
        <w:rPr>
          <w:rFonts w:ascii="Helvetica" w:hAnsi="Helvetica" w:eastAsia="宋体" w:cs="Helvetica"/>
          <w:kern w:val="0"/>
          <w:sz w:val="23"/>
          <w:szCs w:val="23"/>
        </w:rPr>
      </w:pPr>
      <w:r>
        <w:rPr>
          <w:rFonts w:hint="eastAsia" w:ascii="宋体" w:hAnsi="宋体" w:eastAsia="宋体" w:cs="Helvetica"/>
          <w:b/>
          <w:bCs/>
          <w:kern w:val="0"/>
          <w:sz w:val="24"/>
          <w:szCs w:val="24"/>
        </w:rPr>
        <w:t>中小企业声明函（工程、服务）</w:t>
      </w:r>
    </w:p>
    <w:p w14:paraId="72B7D346">
      <w:pPr>
        <w:widowControl/>
        <w:spacing w:before="75" w:after="75"/>
        <w:ind w:firstLine="420"/>
        <w:jc w:val="left"/>
        <w:rPr>
          <w:rFonts w:ascii="宋体" w:hAnsi="宋体" w:eastAsia="宋体" w:cs="宋体"/>
          <w:kern w:val="0"/>
          <w:sz w:val="24"/>
          <w:szCs w:val="24"/>
        </w:rPr>
      </w:pPr>
      <w:r>
        <w:rPr>
          <w:rFonts w:hint="eastAsia" w:ascii="宋体" w:hAnsi="宋体" w:eastAsia="宋体" w:cs="宋体"/>
          <w:kern w:val="0"/>
          <w:szCs w:val="21"/>
        </w:rPr>
        <w:t>本公司（联合体）郑重声明，根据《政府采购促进中小企业发展管理办法》（财库﹝2020﹞46 号）的规定，本公司（联合体）参加</w:t>
      </w:r>
      <w:r>
        <w:rPr>
          <w:rFonts w:hint="eastAsia" w:ascii="宋体" w:hAnsi="宋体" w:eastAsia="宋体" w:cs="宋体"/>
          <w:kern w:val="0"/>
          <w:szCs w:val="21"/>
          <w:u w:val="single"/>
        </w:rPr>
        <w:t>（单位名称）</w:t>
      </w:r>
      <w:r>
        <w:rPr>
          <w:rFonts w:hint="eastAsia" w:ascii="宋体" w:hAnsi="宋体" w:eastAsia="宋体" w:cs="宋体"/>
          <w:kern w:val="0"/>
          <w:szCs w:val="21"/>
        </w:rPr>
        <w:t>的</w:t>
      </w:r>
      <w:r>
        <w:rPr>
          <w:rFonts w:hint="eastAsia" w:ascii="宋体" w:hAnsi="宋体" w:eastAsia="宋体" w:cs="宋体"/>
          <w:kern w:val="0"/>
          <w:szCs w:val="21"/>
          <w:u w:val="single"/>
        </w:rPr>
        <w:t>（项目名称）</w:t>
      </w:r>
      <w:r>
        <w:rPr>
          <w:rFonts w:hint="eastAsia" w:ascii="宋体" w:hAnsi="宋体" w:eastAsia="宋体" w:cs="宋体"/>
          <w:kern w:val="0"/>
          <w:szCs w:val="21"/>
        </w:rPr>
        <w:t>采购活动，工程的施工单位全部为符合政策要求的中小企业（或者：服务全部由符合政策要求的中小企业承接）。相关企业（含联合体中的中小企业、签订分包意向协议的中小企业）的具体情况如下：</w:t>
      </w:r>
    </w:p>
    <w:p w14:paraId="1F2ACD8A">
      <w:pPr>
        <w:widowControl/>
        <w:spacing w:before="75" w:after="75"/>
        <w:ind w:firstLine="420"/>
        <w:jc w:val="left"/>
        <w:rPr>
          <w:rFonts w:ascii="宋体" w:hAnsi="宋体" w:eastAsia="宋体" w:cs="宋体"/>
          <w:kern w:val="0"/>
          <w:sz w:val="24"/>
          <w:szCs w:val="24"/>
        </w:rPr>
      </w:pPr>
      <w:r>
        <w:rPr>
          <w:rFonts w:hint="eastAsia" w:ascii="宋体" w:hAnsi="宋体" w:eastAsia="宋体" w:cs="宋体"/>
          <w:kern w:val="0"/>
          <w:szCs w:val="21"/>
        </w:rPr>
        <w:t>1. </w:t>
      </w:r>
      <w:r>
        <w:rPr>
          <w:rFonts w:hint="eastAsia" w:ascii="宋体" w:hAnsi="宋体" w:eastAsia="宋体" w:cs="宋体"/>
          <w:kern w:val="0"/>
          <w:szCs w:val="21"/>
          <w:u w:val="single"/>
        </w:rPr>
        <w:t>（标的名称）</w:t>
      </w:r>
      <w:r>
        <w:rPr>
          <w:rFonts w:hint="eastAsia" w:ascii="宋体" w:hAnsi="宋体" w:eastAsia="宋体" w:cs="宋体"/>
          <w:kern w:val="0"/>
          <w:szCs w:val="21"/>
        </w:rPr>
        <w:t>，属于</w:t>
      </w:r>
      <w:r>
        <w:rPr>
          <w:rFonts w:hint="eastAsia" w:ascii="宋体" w:hAnsi="宋体" w:eastAsia="宋体" w:cs="宋体"/>
          <w:kern w:val="0"/>
          <w:szCs w:val="21"/>
          <w:u w:val="single"/>
        </w:rPr>
        <w:t>（采购文件中明确的所属行业）</w:t>
      </w:r>
      <w:r>
        <w:rPr>
          <w:rFonts w:hint="eastAsia" w:ascii="宋体" w:hAnsi="宋体" w:eastAsia="宋体" w:cs="宋体"/>
          <w:kern w:val="0"/>
          <w:szCs w:val="21"/>
        </w:rPr>
        <w:t>；承建（承接）企业为</w:t>
      </w:r>
      <w:r>
        <w:rPr>
          <w:rFonts w:hint="eastAsia" w:ascii="宋体" w:hAnsi="宋体" w:eastAsia="宋体" w:cs="宋体"/>
          <w:kern w:val="0"/>
          <w:szCs w:val="21"/>
          <w:u w:val="single"/>
        </w:rPr>
        <w:t>（企业名称）</w:t>
      </w:r>
      <w:r>
        <w:rPr>
          <w:rFonts w:hint="eastAsia" w:ascii="宋体" w:hAnsi="宋体" w:eastAsia="宋体" w:cs="宋体"/>
          <w:kern w:val="0"/>
          <w:szCs w:val="21"/>
        </w:rPr>
        <w:t>，从业人员</w:t>
      </w:r>
      <w:r>
        <w:rPr>
          <w:rFonts w:hint="eastAsia" w:ascii="宋体" w:hAnsi="宋体" w:eastAsia="宋体" w:cs="宋体"/>
          <w:kern w:val="0"/>
          <w:szCs w:val="21"/>
          <w:u w:val="single"/>
        </w:rPr>
        <w:t> </w:t>
      </w:r>
      <w:r>
        <w:rPr>
          <w:rFonts w:hint="eastAsia" w:ascii="宋体" w:hAnsi="宋体" w:eastAsia="宋体" w:cs="宋体"/>
          <w:kern w:val="0"/>
          <w:szCs w:val="21"/>
        </w:rPr>
        <w:t>人，营业收入为</w:t>
      </w:r>
      <w:r>
        <w:rPr>
          <w:rFonts w:hint="eastAsia" w:ascii="宋体" w:hAnsi="宋体" w:eastAsia="宋体" w:cs="宋体"/>
          <w:kern w:val="0"/>
          <w:szCs w:val="21"/>
          <w:u w:val="single"/>
        </w:rPr>
        <w:t>  </w:t>
      </w:r>
      <w:r>
        <w:rPr>
          <w:rFonts w:hint="eastAsia" w:ascii="宋体" w:hAnsi="宋体" w:eastAsia="宋体" w:cs="宋体"/>
          <w:kern w:val="0"/>
          <w:szCs w:val="21"/>
        </w:rPr>
        <w:t>万元，资产总额为</w:t>
      </w:r>
      <w:r>
        <w:rPr>
          <w:rFonts w:hint="eastAsia" w:ascii="宋体" w:hAnsi="宋体" w:eastAsia="宋体" w:cs="宋体"/>
          <w:kern w:val="0"/>
          <w:szCs w:val="21"/>
          <w:u w:val="single"/>
        </w:rPr>
        <w:t>  </w:t>
      </w:r>
      <w:r>
        <w:rPr>
          <w:rFonts w:hint="eastAsia" w:ascii="宋体" w:hAnsi="宋体" w:eastAsia="宋体" w:cs="宋体"/>
          <w:kern w:val="0"/>
          <w:szCs w:val="21"/>
        </w:rPr>
        <w:t>万元</w:t>
      </w:r>
      <w:r>
        <w:rPr>
          <w:rFonts w:hint="eastAsia" w:ascii="宋体" w:hAnsi="宋体" w:eastAsia="宋体" w:cs="宋体"/>
          <w:kern w:val="0"/>
          <w:szCs w:val="21"/>
          <w:vertAlign w:val="superscript"/>
        </w:rPr>
        <w:t>1</w:t>
      </w:r>
      <w:r>
        <w:rPr>
          <w:rFonts w:hint="eastAsia" w:ascii="宋体" w:hAnsi="宋体" w:eastAsia="宋体" w:cs="宋体"/>
          <w:kern w:val="0"/>
          <w:szCs w:val="21"/>
        </w:rPr>
        <w:t>，属于</w:t>
      </w:r>
      <w:r>
        <w:rPr>
          <w:rFonts w:hint="eastAsia" w:ascii="宋体" w:hAnsi="宋体" w:eastAsia="宋体" w:cs="宋体"/>
          <w:kern w:val="0"/>
          <w:szCs w:val="21"/>
          <w:u w:val="single"/>
        </w:rPr>
        <w:t>（中型企业、小型企业、微型企业）；</w:t>
      </w:r>
    </w:p>
    <w:p w14:paraId="618D4D4B">
      <w:pPr>
        <w:widowControl/>
        <w:spacing w:before="75" w:after="75"/>
        <w:jc w:val="left"/>
        <w:rPr>
          <w:rFonts w:ascii="宋体" w:hAnsi="宋体" w:eastAsia="宋体" w:cs="宋体"/>
          <w:kern w:val="0"/>
          <w:sz w:val="24"/>
          <w:szCs w:val="24"/>
        </w:rPr>
      </w:pPr>
      <w:r>
        <w:rPr>
          <w:rFonts w:hint="eastAsia" w:ascii="宋体" w:hAnsi="宋体" w:eastAsia="宋体" w:cs="宋体"/>
          <w:kern w:val="0"/>
          <w:szCs w:val="21"/>
        </w:rPr>
        <w:t>　　2. </w:t>
      </w:r>
      <w:r>
        <w:rPr>
          <w:rFonts w:hint="eastAsia" w:ascii="宋体" w:hAnsi="宋体" w:eastAsia="宋体" w:cs="宋体"/>
          <w:kern w:val="0"/>
          <w:szCs w:val="21"/>
          <w:u w:val="single"/>
        </w:rPr>
        <w:t>（标的名称）</w:t>
      </w:r>
      <w:r>
        <w:rPr>
          <w:rFonts w:hint="eastAsia" w:ascii="宋体" w:hAnsi="宋体" w:eastAsia="宋体" w:cs="宋体"/>
          <w:kern w:val="0"/>
          <w:szCs w:val="21"/>
        </w:rPr>
        <w:t>，属于</w:t>
      </w:r>
      <w:r>
        <w:rPr>
          <w:rFonts w:hint="eastAsia" w:ascii="宋体" w:hAnsi="宋体" w:eastAsia="宋体" w:cs="宋体"/>
          <w:kern w:val="0"/>
          <w:szCs w:val="21"/>
          <w:u w:val="single"/>
        </w:rPr>
        <w:t>（采购文件中明确的所属行业）；</w:t>
      </w:r>
      <w:r>
        <w:rPr>
          <w:rFonts w:hint="eastAsia" w:ascii="宋体" w:hAnsi="宋体" w:eastAsia="宋体" w:cs="宋体"/>
          <w:kern w:val="0"/>
          <w:szCs w:val="21"/>
        </w:rPr>
        <w:t>承建（承接）企业为</w:t>
      </w:r>
      <w:r>
        <w:rPr>
          <w:rFonts w:hint="eastAsia" w:ascii="宋体" w:hAnsi="宋体" w:eastAsia="宋体" w:cs="宋体"/>
          <w:kern w:val="0"/>
          <w:szCs w:val="21"/>
          <w:u w:val="single"/>
        </w:rPr>
        <w:t>（企业名称）</w:t>
      </w:r>
      <w:r>
        <w:rPr>
          <w:rFonts w:hint="eastAsia" w:ascii="宋体" w:hAnsi="宋体" w:eastAsia="宋体" w:cs="宋体"/>
          <w:kern w:val="0"/>
          <w:szCs w:val="21"/>
        </w:rPr>
        <w:t>，从业人员</w:t>
      </w:r>
      <w:r>
        <w:rPr>
          <w:rFonts w:hint="eastAsia" w:ascii="宋体" w:hAnsi="宋体" w:eastAsia="宋体" w:cs="宋体"/>
          <w:kern w:val="0"/>
          <w:szCs w:val="21"/>
          <w:u w:val="single"/>
        </w:rPr>
        <w:t>  </w:t>
      </w:r>
      <w:r>
        <w:rPr>
          <w:rFonts w:hint="eastAsia" w:ascii="宋体" w:hAnsi="宋体" w:eastAsia="宋体" w:cs="宋体"/>
          <w:kern w:val="0"/>
          <w:szCs w:val="21"/>
        </w:rPr>
        <w:t>人，营业收入为</w:t>
      </w:r>
      <w:r>
        <w:rPr>
          <w:rFonts w:hint="eastAsia" w:ascii="宋体" w:hAnsi="宋体" w:eastAsia="宋体" w:cs="宋体"/>
          <w:kern w:val="0"/>
          <w:szCs w:val="21"/>
          <w:u w:val="single"/>
        </w:rPr>
        <w:t>  </w:t>
      </w:r>
      <w:r>
        <w:rPr>
          <w:rFonts w:hint="eastAsia" w:ascii="宋体" w:hAnsi="宋体" w:eastAsia="宋体" w:cs="宋体"/>
          <w:kern w:val="0"/>
          <w:szCs w:val="21"/>
        </w:rPr>
        <w:t>万元，资产总额为</w:t>
      </w:r>
      <w:r>
        <w:rPr>
          <w:rFonts w:hint="eastAsia" w:ascii="宋体" w:hAnsi="宋体" w:eastAsia="宋体" w:cs="宋体"/>
          <w:kern w:val="0"/>
          <w:szCs w:val="21"/>
          <w:u w:val="single"/>
        </w:rPr>
        <w:t>  </w:t>
      </w:r>
      <w:r>
        <w:rPr>
          <w:rFonts w:hint="eastAsia" w:ascii="宋体" w:hAnsi="宋体" w:eastAsia="宋体" w:cs="宋体"/>
          <w:kern w:val="0"/>
          <w:szCs w:val="21"/>
        </w:rPr>
        <w:t>万元，属于</w:t>
      </w:r>
      <w:r>
        <w:rPr>
          <w:rFonts w:hint="eastAsia" w:ascii="宋体" w:hAnsi="宋体" w:eastAsia="宋体" w:cs="宋体"/>
          <w:kern w:val="0"/>
          <w:szCs w:val="21"/>
          <w:u w:val="single"/>
        </w:rPr>
        <w:t>（中型企业、小型企业、微型企业）；</w:t>
      </w:r>
    </w:p>
    <w:p w14:paraId="198BCC51">
      <w:pPr>
        <w:widowControl/>
        <w:spacing w:before="75" w:after="75"/>
        <w:jc w:val="left"/>
        <w:rPr>
          <w:rFonts w:ascii="宋体" w:hAnsi="宋体" w:eastAsia="宋体" w:cs="宋体"/>
          <w:kern w:val="0"/>
          <w:sz w:val="24"/>
          <w:szCs w:val="24"/>
        </w:rPr>
      </w:pPr>
      <w:r>
        <w:rPr>
          <w:rFonts w:hint="eastAsia" w:ascii="宋体" w:hAnsi="宋体" w:eastAsia="宋体" w:cs="宋体"/>
          <w:kern w:val="0"/>
          <w:szCs w:val="21"/>
        </w:rPr>
        <w:t> </w:t>
      </w:r>
    </w:p>
    <w:p w14:paraId="29BA9EC5">
      <w:pPr>
        <w:widowControl/>
        <w:spacing w:before="75" w:after="75"/>
        <w:jc w:val="left"/>
        <w:rPr>
          <w:rFonts w:ascii="宋体" w:hAnsi="宋体" w:eastAsia="宋体" w:cs="宋体"/>
          <w:kern w:val="0"/>
          <w:sz w:val="24"/>
          <w:szCs w:val="24"/>
        </w:rPr>
      </w:pPr>
      <w:r>
        <w:rPr>
          <w:rFonts w:hint="eastAsia" w:ascii="宋体" w:hAnsi="宋体" w:eastAsia="宋体" w:cs="宋体"/>
          <w:kern w:val="0"/>
          <w:szCs w:val="21"/>
        </w:rPr>
        <w:t>……</w:t>
      </w:r>
    </w:p>
    <w:p w14:paraId="2B191623">
      <w:pPr>
        <w:widowControl/>
        <w:spacing w:before="75" w:after="75"/>
        <w:jc w:val="left"/>
        <w:rPr>
          <w:rFonts w:ascii="宋体" w:hAnsi="宋体" w:eastAsia="宋体" w:cs="宋体"/>
          <w:kern w:val="0"/>
          <w:sz w:val="24"/>
          <w:szCs w:val="24"/>
        </w:rPr>
      </w:pPr>
      <w:r>
        <w:rPr>
          <w:rFonts w:hint="eastAsia" w:ascii="宋体" w:hAnsi="宋体" w:eastAsia="宋体" w:cs="宋体"/>
          <w:kern w:val="0"/>
          <w:szCs w:val="21"/>
        </w:rPr>
        <w:t> </w:t>
      </w:r>
    </w:p>
    <w:p w14:paraId="69B885BE">
      <w:pPr>
        <w:widowControl/>
        <w:spacing w:before="75" w:after="75"/>
        <w:jc w:val="left"/>
        <w:rPr>
          <w:rFonts w:ascii="宋体" w:hAnsi="宋体" w:eastAsia="宋体" w:cs="宋体"/>
          <w:kern w:val="0"/>
          <w:sz w:val="24"/>
          <w:szCs w:val="24"/>
        </w:rPr>
      </w:pPr>
      <w:r>
        <w:rPr>
          <w:rFonts w:hint="eastAsia" w:ascii="宋体" w:hAnsi="宋体" w:eastAsia="宋体" w:cs="宋体"/>
          <w:kern w:val="0"/>
          <w:szCs w:val="21"/>
        </w:rPr>
        <w:t> 以上企业，不属于大企业的分支机构，不存在控股股东为大企业的情形，也不存在与大企业的负责人为同一人的情形。</w:t>
      </w:r>
    </w:p>
    <w:p w14:paraId="53018F0F">
      <w:pPr>
        <w:widowControl/>
        <w:spacing w:before="75" w:after="75"/>
        <w:jc w:val="left"/>
        <w:rPr>
          <w:rFonts w:ascii="宋体" w:hAnsi="宋体" w:eastAsia="宋体" w:cs="宋体"/>
          <w:kern w:val="0"/>
          <w:sz w:val="24"/>
          <w:szCs w:val="24"/>
        </w:rPr>
      </w:pPr>
      <w:r>
        <w:rPr>
          <w:rFonts w:hint="eastAsia" w:ascii="宋体" w:hAnsi="宋体" w:eastAsia="宋体" w:cs="宋体"/>
          <w:kern w:val="0"/>
          <w:szCs w:val="21"/>
        </w:rPr>
        <w:t> </w:t>
      </w:r>
    </w:p>
    <w:p w14:paraId="745854B9">
      <w:pPr>
        <w:widowControl/>
        <w:spacing w:before="75" w:after="75"/>
        <w:jc w:val="left"/>
        <w:rPr>
          <w:rFonts w:ascii="宋体" w:hAnsi="宋体" w:eastAsia="宋体" w:cs="宋体"/>
          <w:kern w:val="0"/>
          <w:sz w:val="24"/>
          <w:szCs w:val="24"/>
        </w:rPr>
      </w:pPr>
      <w:r>
        <w:rPr>
          <w:rFonts w:hint="eastAsia" w:ascii="宋体" w:hAnsi="宋体" w:eastAsia="宋体" w:cs="宋体"/>
          <w:kern w:val="0"/>
          <w:szCs w:val="21"/>
        </w:rPr>
        <w:t> 本企业对上述声明内容的真实性负责。如有虚假，将依法承担相应责任。</w:t>
      </w:r>
    </w:p>
    <w:p w14:paraId="779B78B5">
      <w:pPr>
        <w:widowControl/>
        <w:spacing w:before="75" w:after="75"/>
        <w:jc w:val="left"/>
        <w:rPr>
          <w:rFonts w:ascii="宋体" w:hAnsi="宋体" w:eastAsia="宋体" w:cs="宋体"/>
          <w:kern w:val="0"/>
          <w:sz w:val="24"/>
          <w:szCs w:val="24"/>
        </w:rPr>
      </w:pPr>
      <w:r>
        <w:rPr>
          <w:rFonts w:hint="eastAsia" w:ascii="宋体" w:hAnsi="宋体" w:eastAsia="宋体" w:cs="宋体"/>
          <w:kern w:val="0"/>
          <w:szCs w:val="21"/>
        </w:rPr>
        <w:t> </w:t>
      </w:r>
    </w:p>
    <w:p w14:paraId="61224FBD">
      <w:pPr>
        <w:widowControl/>
        <w:spacing w:before="75" w:after="75"/>
        <w:jc w:val="left"/>
        <w:rPr>
          <w:rFonts w:ascii="宋体" w:hAnsi="宋体" w:eastAsia="宋体" w:cs="宋体"/>
          <w:kern w:val="0"/>
          <w:sz w:val="24"/>
          <w:szCs w:val="24"/>
        </w:rPr>
      </w:pPr>
      <w:r>
        <w:rPr>
          <w:rFonts w:hint="eastAsia" w:ascii="宋体" w:hAnsi="宋体" w:eastAsia="宋体" w:cs="宋体"/>
          <w:kern w:val="0"/>
          <w:szCs w:val="21"/>
        </w:rPr>
        <w:t> 企业名称（盖章）：                                              日期：</w:t>
      </w:r>
    </w:p>
    <w:p w14:paraId="77CBF0AD">
      <w:pPr>
        <w:widowControl/>
        <w:spacing w:before="75" w:after="75"/>
        <w:jc w:val="left"/>
        <w:rPr>
          <w:rFonts w:ascii="宋体" w:hAnsi="宋体" w:eastAsia="宋体" w:cs="宋体"/>
          <w:kern w:val="0"/>
          <w:sz w:val="24"/>
          <w:szCs w:val="24"/>
        </w:rPr>
      </w:pPr>
      <w:r>
        <w:rPr>
          <w:rFonts w:hint="eastAsia" w:ascii="宋体" w:hAnsi="宋体" w:eastAsia="宋体" w:cs="宋体"/>
          <w:kern w:val="0"/>
          <w:szCs w:val="21"/>
        </w:rPr>
        <w:t> </w:t>
      </w:r>
    </w:p>
    <w:p w14:paraId="5A5800AF">
      <w:pPr>
        <w:widowControl/>
        <w:spacing w:before="75" w:after="75"/>
        <w:jc w:val="left"/>
        <w:rPr>
          <w:rFonts w:ascii="宋体" w:hAnsi="宋体" w:eastAsia="宋体" w:cs="宋体"/>
          <w:kern w:val="0"/>
          <w:sz w:val="24"/>
          <w:szCs w:val="24"/>
        </w:rPr>
      </w:pPr>
      <w:r>
        <w:rPr>
          <w:rFonts w:hint="eastAsia" w:ascii="宋体" w:hAnsi="宋体" w:eastAsia="宋体" w:cs="宋体"/>
          <w:b/>
          <w:bCs/>
          <w:kern w:val="0"/>
          <w:szCs w:val="21"/>
        </w:rPr>
        <w:t>※注意：</w:t>
      </w:r>
    </w:p>
    <w:p w14:paraId="46777844">
      <w:pPr>
        <w:widowControl/>
        <w:spacing w:before="75" w:after="75"/>
        <w:ind w:firstLine="420"/>
        <w:jc w:val="left"/>
        <w:rPr>
          <w:rFonts w:ascii="宋体" w:hAnsi="宋体" w:eastAsia="宋体" w:cs="宋体"/>
          <w:kern w:val="0"/>
          <w:sz w:val="24"/>
          <w:szCs w:val="24"/>
        </w:rPr>
      </w:pPr>
      <w:r>
        <w:rPr>
          <w:rFonts w:hint="eastAsia" w:ascii="宋体" w:hAnsi="宋体" w:eastAsia="宋体" w:cs="宋体"/>
          <w:b/>
          <w:bCs/>
          <w:kern w:val="0"/>
          <w:szCs w:val="21"/>
        </w:rPr>
        <w:t>1、从业人员、营业收入、资产总额填报上一年度数据，无上一年度数据的新成立企业可不填报。</w:t>
      </w:r>
    </w:p>
    <w:p w14:paraId="0EAAFC69">
      <w:pPr>
        <w:widowControl/>
        <w:spacing w:before="75" w:after="75"/>
        <w:ind w:firstLine="420"/>
        <w:jc w:val="left"/>
        <w:rPr>
          <w:rFonts w:ascii="宋体" w:hAnsi="宋体" w:eastAsia="宋体" w:cs="宋体"/>
          <w:kern w:val="0"/>
          <w:sz w:val="24"/>
          <w:szCs w:val="24"/>
        </w:rPr>
      </w:pPr>
      <w:r>
        <w:rPr>
          <w:rFonts w:hint="eastAsia" w:ascii="宋体" w:hAnsi="宋体" w:eastAsia="宋体" w:cs="宋体"/>
          <w:b/>
          <w:bCs/>
          <w:kern w:val="0"/>
          <w:szCs w:val="21"/>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r>
        <w:rPr>
          <w:rFonts w:hint="eastAsia" w:ascii="宋体" w:hAnsi="宋体" w:eastAsia="宋体" w:cs="宋体"/>
          <w:b/>
          <w:bCs/>
          <w:kern w:val="0"/>
          <w:szCs w:val="21"/>
        </w:rPr>
        <w:br w:type="textWrapping"/>
      </w:r>
      <w:r>
        <w:rPr>
          <w:rFonts w:hint="eastAsia" w:ascii="宋体" w:hAnsi="宋体" w:eastAsia="宋体" w:cs="宋体"/>
          <w:b/>
          <w:bCs/>
          <w:kern w:val="0"/>
          <w:szCs w:val="21"/>
        </w:rPr>
        <w:t>  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r>
        <w:rPr>
          <w:rFonts w:ascii="Calibri" w:hAnsi="Calibri" w:eastAsia="宋体" w:cs="Calibri"/>
          <w:b/>
          <w:bCs/>
          <w:kern w:val="0"/>
          <w:szCs w:val="21"/>
        </w:rPr>
        <w:t>     </w:t>
      </w:r>
      <w:r>
        <w:rPr>
          <w:rFonts w:ascii="Calibri" w:hAnsi="Calibri" w:eastAsia="宋体" w:cs="Calibri"/>
          <w:kern w:val="0"/>
          <w:szCs w:val="21"/>
        </w:rPr>
        <w:t>          </w:t>
      </w:r>
    </w:p>
    <w:p w14:paraId="061B2704">
      <w:pPr>
        <w:widowControl/>
        <w:spacing w:after="150"/>
        <w:jc w:val="left"/>
        <w:rPr>
          <w:rFonts w:ascii="宋体" w:hAnsi="宋体" w:eastAsia="宋体" w:cs="宋体"/>
          <w:kern w:val="0"/>
          <w:sz w:val="24"/>
          <w:szCs w:val="24"/>
        </w:rPr>
      </w:pPr>
      <w:r>
        <w:rPr>
          <w:rFonts w:hint="eastAsia" w:ascii="宋体" w:hAnsi="宋体" w:eastAsia="宋体" w:cs="宋体"/>
          <w:kern w:val="0"/>
          <w:szCs w:val="21"/>
        </w:rPr>
        <w:br w:type="textWrapping"/>
      </w:r>
      <w:r>
        <w:rPr>
          <w:rFonts w:hint="eastAsia" w:ascii="宋体" w:hAnsi="宋体" w:eastAsia="宋体" w:cs="宋体"/>
          <w:kern w:val="0"/>
          <w:szCs w:val="21"/>
        </w:rPr>
        <w:br w:type="textWrapping"/>
      </w:r>
      <w:r>
        <w:rPr>
          <w:rFonts w:hint="eastAsia" w:ascii="宋体" w:hAnsi="宋体" w:eastAsia="宋体" w:cs="宋体"/>
          <w:kern w:val="0"/>
          <w:szCs w:val="21"/>
        </w:rPr>
        <w:br w:type="textWrapping"/>
      </w:r>
    </w:p>
    <w:p w14:paraId="19367639">
      <w:pPr>
        <w:widowControl/>
        <w:spacing w:before="75" w:after="75"/>
        <w:jc w:val="left"/>
        <w:rPr>
          <w:rFonts w:ascii="宋体" w:hAnsi="宋体" w:eastAsia="宋体" w:cs="宋体"/>
          <w:kern w:val="0"/>
          <w:sz w:val="24"/>
          <w:szCs w:val="24"/>
        </w:rPr>
      </w:pPr>
      <w:r>
        <w:rPr>
          <w:rFonts w:hint="eastAsia" w:ascii="宋体" w:hAnsi="宋体" w:eastAsia="宋体" w:cs="宋体"/>
          <w:kern w:val="0"/>
          <w:szCs w:val="21"/>
        </w:rPr>
        <w:t>附：</w:t>
      </w:r>
    </w:p>
    <w:p w14:paraId="4FE2BA13">
      <w:pPr>
        <w:widowControl/>
        <w:spacing w:before="75" w:after="75"/>
        <w:jc w:val="center"/>
        <w:rPr>
          <w:rFonts w:ascii="宋体" w:hAnsi="宋体" w:eastAsia="宋体" w:cs="宋体"/>
          <w:kern w:val="0"/>
          <w:sz w:val="24"/>
          <w:szCs w:val="24"/>
        </w:rPr>
      </w:pPr>
      <w:r>
        <w:rPr>
          <w:rFonts w:hint="eastAsia" w:ascii="宋体" w:hAnsi="宋体" w:eastAsia="宋体" w:cs="宋体"/>
          <w:b/>
          <w:bCs/>
          <w:kern w:val="0"/>
          <w:sz w:val="24"/>
          <w:szCs w:val="24"/>
        </w:rPr>
        <w:t>残疾人福利性单位声明函</w:t>
      </w:r>
    </w:p>
    <w:p w14:paraId="727AF21D">
      <w:pPr>
        <w:widowControl/>
        <w:spacing w:before="75" w:after="75"/>
        <w:jc w:val="center"/>
        <w:rPr>
          <w:rFonts w:ascii="宋体" w:hAnsi="宋体" w:eastAsia="宋体" w:cs="宋体"/>
          <w:kern w:val="0"/>
          <w:sz w:val="24"/>
          <w:szCs w:val="24"/>
        </w:rPr>
      </w:pPr>
      <w:r>
        <w:rPr>
          <w:rFonts w:hint="eastAsia" w:ascii="宋体" w:hAnsi="宋体" w:eastAsia="宋体" w:cs="宋体"/>
          <w:b/>
          <w:bCs/>
          <w:kern w:val="0"/>
          <w:szCs w:val="21"/>
        </w:rPr>
        <w:t>（以资格条件落实中小企业扶持政策时适用，若有）</w:t>
      </w:r>
    </w:p>
    <w:p w14:paraId="277A12E2">
      <w:pPr>
        <w:widowControl/>
        <w:spacing w:before="75" w:after="75"/>
        <w:jc w:val="left"/>
        <w:rPr>
          <w:rFonts w:ascii="宋体" w:hAnsi="宋体" w:eastAsia="宋体" w:cs="宋体"/>
          <w:kern w:val="0"/>
          <w:sz w:val="24"/>
          <w:szCs w:val="24"/>
        </w:rPr>
      </w:pPr>
      <w:r>
        <w:rPr>
          <w:rFonts w:hint="eastAsia" w:ascii="宋体" w:hAnsi="宋体" w:eastAsia="宋体" w:cs="宋体"/>
          <w:b/>
          <w:bCs/>
          <w:kern w:val="0"/>
          <w:szCs w:val="21"/>
        </w:rPr>
        <w:t> </w:t>
      </w:r>
    </w:p>
    <w:p w14:paraId="4C96F214">
      <w:pPr>
        <w:widowControl/>
        <w:spacing w:before="75" w:after="75"/>
        <w:ind w:firstLine="420"/>
        <w:jc w:val="left"/>
        <w:rPr>
          <w:rFonts w:ascii="宋体" w:hAnsi="宋体" w:eastAsia="宋体" w:cs="宋体"/>
          <w:kern w:val="0"/>
          <w:sz w:val="24"/>
          <w:szCs w:val="24"/>
        </w:rPr>
      </w:pPr>
      <w:r>
        <w:rPr>
          <w:rFonts w:hint="eastAsia" w:ascii="宋体" w:hAnsi="宋体" w:eastAsia="宋体" w:cs="宋体"/>
          <w:kern w:val="0"/>
          <w:szCs w:val="21"/>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w:t>
      </w:r>
      <w:r>
        <w:rPr>
          <w:rFonts w:hint="eastAsia" w:ascii="宋体" w:hAnsi="宋体" w:eastAsia="宋体" w:cs="宋体"/>
          <w:kern w:val="0"/>
          <w:szCs w:val="21"/>
          <w:u w:val="single"/>
        </w:rPr>
        <w:t>（填写“项目名称”）</w:t>
      </w:r>
      <w:r>
        <w:rPr>
          <w:rFonts w:hint="eastAsia" w:ascii="宋体" w:hAnsi="宋体" w:eastAsia="宋体" w:cs="宋体"/>
          <w:kern w:val="0"/>
          <w:szCs w:val="21"/>
        </w:rPr>
        <w:t>项目采购活动：</w:t>
      </w:r>
    </w:p>
    <w:p w14:paraId="0868DD88">
      <w:pPr>
        <w:widowControl/>
        <w:spacing w:before="75" w:after="75"/>
        <w:ind w:firstLine="420"/>
        <w:jc w:val="left"/>
        <w:rPr>
          <w:rFonts w:ascii="宋体" w:hAnsi="宋体" w:eastAsia="宋体" w:cs="宋体"/>
          <w:kern w:val="0"/>
          <w:sz w:val="24"/>
          <w:szCs w:val="24"/>
        </w:rPr>
      </w:pPr>
      <w:r>
        <w:rPr>
          <w:rFonts w:hint="eastAsia" w:ascii="宋体" w:hAnsi="宋体" w:eastAsia="宋体" w:cs="宋体"/>
          <w:kern w:val="0"/>
          <w:szCs w:val="21"/>
        </w:rPr>
        <w:t>（ ）提供本投标人制造的</w:t>
      </w:r>
      <w:r>
        <w:rPr>
          <w:rFonts w:hint="eastAsia" w:ascii="宋体" w:hAnsi="宋体" w:eastAsia="宋体" w:cs="宋体"/>
          <w:kern w:val="0"/>
          <w:szCs w:val="21"/>
          <w:u w:val="single"/>
        </w:rPr>
        <w:t>（填写“所投采购包、品目号”）</w:t>
      </w:r>
      <w:r>
        <w:rPr>
          <w:rFonts w:hint="eastAsia" w:ascii="宋体" w:hAnsi="宋体" w:eastAsia="宋体" w:cs="宋体"/>
          <w:kern w:val="0"/>
          <w:szCs w:val="21"/>
        </w:rPr>
        <w:t>货物，或提供其他残疾人福利性单位制造的</w:t>
      </w:r>
      <w:r>
        <w:rPr>
          <w:rFonts w:hint="eastAsia" w:ascii="宋体" w:hAnsi="宋体" w:eastAsia="宋体" w:cs="宋体"/>
          <w:kern w:val="0"/>
          <w:szCs w:val="21"/>
          <w:u w:val="single"/>
        </w:rPr>
        <w:t>（填写“所投采购包、品目号”）</w:t>
      </w:r>
      <w:r>
        <w:rPr>
          <w:rFonts w:hint="eastAsia" w:ascii="宋体" w:hAnsi="宋体" w:eastAsia="宋体" w:cs="宋体"/>
          <w:kern w:val="0"/>
          <w:szCs w:val="21"/>
        </w:rPr>
        <w:t>货物（不包括使用非残疾人福利性单位注册商标的货物）。（说明：只有部分货物由残疾人福利企业制造的，在该货物后标</w:t>
      </w:r>
      <w:r>
        <w:rPr>
          <w:rFonts w:ascii="Segoe UI Symbol" w:hAnsi="Segoe UI Symbol" w:eastAsia="宋体" w:cs="宋体"/>
          <w:color w:val="333333"/>
          <w:kern w:val="0"/>
          <w:sz w:val="20"/>
          <w:szCs w:val="20"/>
          <w:shd w:val="clear" w:color="auto" w:fill="FFFFFF"/>
        </w:rPr>
        <w:t>※</w:t>
      </w:r>
      <w:r>
        <w:rPr>
          <w:rFonts w:hint="eastAsia" w:ascii="宋体" w:hAnsi="宋体" w:eastAsia="宋体" w:cs="宋体"/>
          <w:kern w:val="0"/>
          <w:szCs w:val="21"/>
        </w:rPr>
        <w:t>）</w:t>
      </w:r>
    </w:p>
    <w:p w14:paraId="6109FF00">
      <w:pPr>
        <w:widowControl/>
        <w:spacing w:before="75" w:after="75"/>
        <w:ind w:firstLine="420"/>
        <w:jc w:val="left"/>
        <w:rPr>
          <w:rFonts w:ascii="宋体" w:hAnsi="宋体" w:eastAsia="宋体" w:cs="宋体"/>
          <w:kern w:val="0"/>
          <w:sz w:val="24"/>
          <w:szCs w:val="24"/>
        </w:rPr>
      </w:pPr>
      <w:r>
        <w:rPr>
          <w:rFonts w:hint="eastAsia" w:ascii="宋体" w:hAnsi="宋体" w:eastAsia="宋体" w:cs="宋体"/>
          <w:kern w:val="0"/>
          <w:szCs w:val="21"/>
        </w:rPr>
        <w:t>（ ）由本投标人承建的（填写“所投采购包、品目号”）工程</w:t>
      </w:r>
    </w:p>
    <w:p w14:paraId="74998113">
      <w:pPr>
        <w:widowControl/>
        <w:spacing w:before="75" w:after="75"/>
        <w:ind w:firstLine="420"/>
        <w:jc w:val="left"/>
        <w:rPr>
          <w:rFonts w:ascii="宋体" w:hAnsi="宋体" w:eastAsia="宋体" w:cs="宋体"/>
          <w:kern w:val="0"/>
          <w:sz w:val="24"/>
          <w:szCs w:val="24"/>
        </w:rPr>
      </w:pPr>
      <w:r>
        <w:rPr>
          <w:rFonts w:hint="eastAsia" w:ascii="宋体" w:hAnsi="宋体" w:eastAsia="宋体" w:cs="宋体"/>
          <w:kern w:val="0"/>
          <w:szCs w:val="21"/>
        </w:rPr>
        <w:t>（ ）由本投标人承接的（填写“所投采购包、品目号”）服务；</w:t>
      </w:r>
    </w:p>
    <w:p w14:paraId="3F65CAB7">
      <w:pPr>
        <w:widowControl/>
        <w:spacing w:before="75" w:after="75"/>
        <w:ind w:firstLine="420"/>
        <w:jc w:val="left"/>
        <w:rPr>
          <w:rFonts w:ascii="宋体" w:hAnsi="宋体" w:eastAsia="宋体" w:cs="宋体"/>
          <w:kern w:val="0"/>
          <w:sz w:val="24"/>
          <w:szCs w:val="24"/>
        </w:rPr>
      </w:pPr>
      <w:r>
        <w:rPr>
          <w:rFonts w:hint="eastAsia" w:ascii="宋体" w:hAnsi="宋体" w:eastAsia="宋体" w:cs="宋体"/>
          <w:kern w:val="0"/>
          <w:szCs w:val="21"/>
        </w:rPr>
        <w:t>本投标人对上述声明的真实性负责。如有虚假，将依法承担相应责任。</w:t>
      </w:r>
    </w:p>
    <w:p w14:paraId="7D3E8D03">
      <w:pPr>
        <w:widowControl/>
        <w:spacing w:before="75" w:after="75"/>
        <w:ind w:firstLine="420"/>
        <w:jc w:val="left"/>
        <w:rPr>
          <w:rFonts w:ascii="宋体" w:hAnsi="宋体" w:eastAsia="宋体" w:cs="宋体"/>
          <w:kern w:val="0"/>
          <w:sz w:val="24"/>
          <w:szCs w:val="24"/>
        </w:rPr>
      </w:pPr>
      <w:r>
        <w:rPr>
          <w:rFonts w:ascii="Calibri" w:hAnsi="Calibri" w:eastAsia="宋体" w:cs="Calibri"/>
          <w:kern w:val="0"/>
          <w:szCs w:val="21"/>
        </w:rPr>
        <w:t> </w:t>
      </w:r>
    </w:p>
    <w:p w14:paraId="1A86DF0E">
      <w:pPr>
        <w:widowControl/>
        <w:spacing w:before="75" w:after="75"/>
        <w:jc w:val="left"/>
        <w:rPr>
          <w:rFonts w:ascii="宋体" w:hAnsi="宋体" w:eastAsia="宋体" w:cs="宋体"/>
          <w:kern w:val="0"/>
          <w:sz w:val="24"/>
          <w:szCs w:val="24"/>
        </w:rPr>
      </w:pPr>
      <w:r>
        <w:rPr>
          <w:rFonts w:hint="eastAsia" w:ascii="宋体" w:hAnsi="宋体" w:eastAsia="宋体" w:cs="宋体"/>
          <w:kern w:val="0"/>
          <w:szCs w:val="21"/>
        </w:rPr>
        <w:t>备注：</w:t>
      </w:r>
    </w:p>
    <w:p w14:paraId="1E5BD068">
      <w:pPr>
        <w:widowControl/>
        <w:spacing w:before="75" w:after="75"/>
        <w:jc w:val="left"/>
        <w:rPr>
          <w:rFonts w:ascii="宋体" w:hAnsi="宋体" w:eastAsia="宋体" w:cs="宋体"/>
          <w:kern w:val="0"/>
          <w:sz w:val="24"/>
          <w:szCs w:val="24"/>
        </w:rPr>
      </w:pPr>
      <w:r>
        <w:rPr>
          <w:rFonts w:hint="eastAsia" w:ascii="宋体" w:hAnsi="宋体" w:eastAsia="宋体" w:cs="宋体"/>
          <w:kern w:val="0"/>
          <w:szCs w:val="21"/>
        </w:rPr>
        <w:t>1、请投标人按照实际情况编制填写本声明函，并在相应的（）中打“√”。</w:t>
      </w:r>
    </w:p>
    <w:p w14:paraId="1D1EAFEB">
      <w:pPr>
        <w:widowControl/>
        <w:spacing w:before="75" w:after="75"/>
        <w:jc w:val="left"/>
        <w:rPr>
          <w:rFonts w:ascii="宋体" w:hAnsi="宋体" w:eastAsia="宋体" w:cs="宋体"/>
          <w:kern w:val="0"/>
          <w:sz w:val="24"/>
          <w:szCs w:val="24"/>
        </w:rPr>
      </w:pPr>
      <w:r>
        <w:rPr>
          <w:rFonts w:hint="eastAsia" w:ascii="宋体" w:hAnsi="宋体" w:eastAsia="宋体" w:cs="宋体"/>
          <w:kern w:val="0"/>
          <w:szCs w:val="21"/>
        </w:rPr>
        <w:t>2、若《残疾人福利性单位声明函》内容不真实，</w:t>
      </w:r>
      <w:r>
        <w:rPr>
          <w:rFonts w:hint="eastAsia" w:ascii="宋体" w:hAnsi="宋体" w:eastAsia="宋体" w:cs="宋体"/>
          <w:b/>
          <w:bCs/>
          <w:kern w:val="0"/>
          <w:szCs w:val="21"/>
        </w:rPr>
        <w:t>视为提供虚假材料。</w:t>
      </w:r>
    </w:p>
    <w:p w14:paraId="46B612D0">
      <w:pPr>
        <w:widowControl/>
        <w:spacing w:before="75" w:after="75"/>
        <w:jc w:val="left"/>
        <w:rPr>
          <w:rFonts w:ascii="宋体" w:hAnsi="宋体" w:eastAsia="宋体" w:cs="宋体"/>
          <w:kern w:val="0"/>
          <w:sz w:val="24"/>
          <w:szCs w:val="24"/>
        </w:rPr>
      </w:pPr>
      <w:r>
        <w:rPr>
          <w:rFonts w:hint="eastAsia" w:ascii="宋体" w:hAnsi="宋体" w:eastAsia="宋体" w:cs="宋体"/>
          <w:kern w:val="0"/>
          <w:szCs w:val="21"/>
        </w:rPr>
        <w:t> </w:t>
      </w:r>
    </w:p>
    <w:p w14:paraId="49ECE2B4">
      <w:pPr>
        <w:widowControl/>
        <w:spacing w:before="75" w:after="75"/>
        <w:jc w:val="left"/>
        <w:rPr>
          <w:rFonts w:ascii="宋体" w:hAnsi="宋体" w:eastAsia="宋体" w:cs="宋体"/>
          <w:kern w:val="0"/>
          <w:sz w:val="24"/>
          <w:szCs w:val="24"/>
        </w:rPr>
      </w:pPr>
      <w:r>
        <w:rPr>
          <w:rFonts w:ascii="Calibri" w:hAnsi="Calibri" w:eastAsia="宋体" w:cs="Calibri"/>
          <w:kern w:val="0"/>
          <w:szCs w:val="21"/>
        </w:rPr>
        <w:t> </w:t>
      </w:r>
    </w:p>
    <w:p w14:paraId="324F0194">
      <w:pPr>
        <w:widowControl/>
        <w:spacing w:before="75" w:after="75"/>
        <w:jc w:val="left"/>
        <w:rPr>
          <w:rFonts w:ascii="宋体" w:hAnsi="宋体" w:eastAsia="宋体" w:cs="宋体"/>
          <w:kern w:val="0"/>
          <w:sz w:val="24"/>
          <w:szCs w:val="24"/>
        </w:rPr>
      </w:pPr>
      <w:r>
        <w:rPr>
          <w:rFonts w:hint="eastAsia" w:ascii="宋体" w:hAnsi="宋体" w:eastAsia="宋体" w:cs="宋体"/>
          <w:kern w:val="0"/>
          <w:szCs w:val="21"/>
        </w:rPr>
        <w:t>投标人：</w:t>
      </w:r>
      <w:r>
        <w:rPr>
          <w:rFonts w:hint="eastAsia" w:ascii="宋体" w:hAnsi="宋体" w:eastAsia="宋体" w:cs="宋体"/>
          <w:kern w:val="0"/>
          <w:szCs w:val="21"/>
          <w:u w:val="single"/>
        </w:rPr>
        <w:t>（全称并加盖单位公章）</w:t>
      </w:r>
    </w:p>
    <w:p w14:paraId="52CE4C16">
      <w:pPr>
        <w:widowControl/>
        <w:spacing w:before="75" w:after="75"/>
        <w:jc w:val="left"/>
        <w:rPr>
          <w:rFonts w:ascii="宋体" w:hAnsi="宋体" w:eastAsia="宋体" w:cs="宋体"/>
          <w:kern w:val="0"/>
          <w:sz w:val="24"/>
          <w:szCs w:val="24"/>
        </w:rPr>
      </w:pPr>
      <w:r>
        <w:rPr>
          <w:rFonts w:hint="eastAsia" w:ascii="宋体" w:hAnsi="宋体" w:eastAsia="宋体" w:cs="宋体"/>
          <w:kern w:val="0"/>
          <w:szCs w:val="21"/>
        </w:rPr>
        <w:t>日期：</w:t>
      </w:r>
      <w:r>
        <w:rPr>
          <w:rFonts w:hint="eastAsia" w:ascii="宋体" w:hAnsi="宋体" w:eastAsia="宋体" w:cs="宋体"/>
          <w:kern w:val="0"/>
          <w:szCs w:val="21"/>
          <w:u w:val="single"/>
        </w:rPr>
        <w:t>    </w:t>
      </w:r>
      <w:r>
        <w:rPr>
          <w:rFonts w:hint="eastAsia" w:ascii="宋体" w:hAnsi="宋体" w:eastAsia="宋体" w:cs="宋体"/>
          <w:kern w:val="0"/>
          <w:szCs w:val="21"/>
        </w:rPr>
        <w:t>年</w:t>
      </w:r>
      <w:r>
        <w:rPr>
          <w:rFonts w:hint="eastAsia" w:ascii="宋体" w:hAnsi="宋体" w:eastAsia="宋体" w:cs="宋体"/>
          <w:kern w:val="0"/>
          <w:szCs w:val="21"/>
          <w:u w:val="single"/>
        </w:rPr>
        <w:t>   </w:t>
      </w:r>
      <w:r>
        <w:rPr>
          <w:rFonts w:hint="eastAsia" w:ascii="宋体" w:hAnsi="宋体" w:eastAsia="宋体" w:cs="宋体"/>
          <w:kern w:val="0"/>
          <w:szCs w:val="21"/>
        </w:rPr>
        <w:t>月</w:t>
      </w:r>
      <w:r>
        <w:rPr>
          <w:rFonts w:hint="eastAsia" w:ascii="宋体" w:hAnsi="宋体" w:eastAsia="宋体" w:cs="宋体"/>
          <w:kern w:val="0"/>
          <w:szCs w:val="21"/>
          <w:u w:val="single"/>
        </w:rPr>
        <w:t>   </w:t>
      </w:r>
      <w:r>
        <w:rPr>
          <w:rFonts w:hint="eastAsia" w:ascii="宋体" w:hAnsi="宋体" w:eastAsia="宋体" w:cs="宋体"/>
          <w:kern w:val="0"/>
          <w:szCs w:val="21"/>
        </w:rPr>
        <w:t>日</w:t>
      </w:r>
    </w:p>
    <w:p w14:paraId="02594E1C">
      <w:pPr>
        <w:widowControl/>
        <w:spacing w:before="75" w:after="75"/>
        <w:ind w:firstLine="420"/>
        <w:jc w:val="left"/>
        <w:rPr>
          <w:rFonts w:ascii="宋体" w:hAnsi="宋体" w:eastAsia="宋体" w:cs="宋体"/>
          <w:kern w:val="0"/>
          <w:sz w:val="24"/>
          <w:szCs w:val="24"/>
        </w:rPr>
      </w:pPr>
      <w:r>
        <w:rPr>
          <w:rFonts w:ascii="Calibri" w:hAnsi="Calibri" w:eastAsia="宋体" w:cs="Calibri"/>
          <w:kern w:val="0"/>
          <w:sz w:val="24"/>
          <w:szCs w:val="24"/>
        </w:rPr>
        <w:t> </w:t>
      </w:r>
    </w:p>
    <w:p w14:paraId="63CFB734">
      <w:pPr>
        <w:widowControl/>
        <w:spacing w:before="75" w:after="75"/>
        <w:ind w:firstLine="420"/>
        <w:jc w:val="left"/>
        <w:rPr>
          <w:rFonts w:ascii="宋体" w:hAnsi="宋体" w:eastAsia="宋体" w:cs="宋体"/>
          <w:kern w:val="0"/>
          <w:sz w:val="24"/>
          <w:szCs w:val="24"/>
        </w:rPr>
      </w:pPr>
      <w:r>
        <w:rPr>
          <w:rFonts w:ascii="Calibri" w:hAnsi="Calibri" w:eastAsia="宋体" w:cs="Calibri"/>
          <w:kern w:val="0"/>
          <w:sz w:val="24"/>
          <w:szCs w:val="24"/>
        </w:rPr>
        <w:t> </w:t>
      </w:r>
    </w:p>
    <w:p w14:paraId="4E61EC58">
      <w:pPr>
        <w:widowControl/>
        <w:spacing w:before="75" w:after="75"/>
        <w:jc w:val="left"/>
        <w:rPr>
          <w:rFonts w:ascii="宋体" w:hAnsi="宋体" w:eastAsia="宋体" w:cs="宋体"/>
          <w:kern w:val="0"/>
          <w:sz w:val="24"/>
          <w:szCs w:val="24"/>
        </w:rPr>
      </w:pPr>
      <w:r>
        <w:rPr>
          <w:rFonts w:hint="eastAsia" w:ascii="宋体" w:hAnsi="宋体" w:eastAsia="宋体" w:cs="宋体"/>
          <w:kern w:val="0"/>
          <w:szCs w:val="21"/>
        </w:rPr>
        <w:t> </w:t>
      </w:r>
    </w:p>
    <w:p w14:paraId="1A8BD1D0">
      <w:pPr>
        <w:widowControl/>
        <w:spacing w:before="75" w:after="75"/>
        <w:jc w:val="left"/>
        <w:rPr>
          <w:rFonts w:ascii="宋体" w:hAnsi="宋体" w:eastAsia="宋体" w:cs="宋体"/>
          <w:kern w:val="0"/>
          <w:sz w:val="24"/>
          <w:szCs w:val="24"/>
        </w:rPr>
      </w:pPr>
      <w:r>
        <w:rPr>
          <w:rFonts w:hint="eastAsia" w:ascii="宋体" w:hAnsi="宋体" w:eastAsia="宋体" w:cs="宋体"/>
          <w:kern w:val="0"/>
          <w:szCs w:val="21"/>
        </w:rPr>
        <w:t>附：                          </w:t>
      </w:r>
    </w:p>
    <w:p w14:paraId="69A41235">
      <w:pPr>
        <w:widowControl/>
        <w:spacing w:before="75" w:after="75"/>
        <w:jc w:val="center"/>
        <w:rPr>
          <w:rFonts w:ascii="宋体" w:hAnsi="宋体" w:eastAsia="宋体" w:cs="宋体"/>
          <w:kern w:val="0"/>
          <w:sz w:val="24"/>
          <w:szCs w:val="24"/>
        </w:rPr>
      </w:pPr>
      <w:r>
        <w:rPr>
          <w:rFonts w:hint="eastAsia" w:ascii="宋体" w:hAnsi="宋体" w:eastAsia="宋体" w:cs="宋体"/>
          <w:b/>
          <w:bCs/>
          <w:kern w:val="0"/>
          <w:sz w:val="24"/>
          <w:szCs w:val="24"/>
        </w:rPr>
        <w:t>监狱企业证明材料</w:t>
      </w:r>
    </w:p>
    <w:p w14:paraId="11A07513">
      <w:pPr>
        <w:widowControl/>
        <w:spacing w:before="75" w:after="75"/>
        <w:jc w:val="center"/>
        <w:rPr>
          <w:rFonts w:ascii="宋体" w:hAnsi="宋体" w:eastAsia="宋体" w:cs="宋体"/>
          <w:kern w:val="0"/>
          <w:sz w:val="24"/>
          <w:szCs w:val="24"/>
        </w:rPr>
      </w:pPr>
      <w:r>
        <w:rPr>
          <w:rFonts w:hint="eastAsia" w:ascii="宋体" w:hAnsi="宋体" w:eastAsia="宋体" w:cs="宋体"/>
          <w:b/>
          <w:bCs/>
          <w:kern w:val="0"/>
          <w:sz w:val="24"/>
          <w:szCs w:val="24"/>
        </w:rPr>
        <w:t> </w:t>
      </w:r>
    </w:p>
    <w:p w14:paraId="165B3764">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4"/>
          <w:szCs w:val="24"/>
          <w:shd w:val="clear" w:color="auto" w:fill="FFFFFF"/>
        </w:rPr>
        <w:t>投标人为监狱企业，提供本单位制造的货物（承接的服务），并在投标文件中提供省级以上监狱管理局、戒毒管理局（含新疆生产建设兵团）出具的属于监狱企业的证明文件。</w:t>
      </w:r>
    </w:p>
    <w:p w14:paraId="06667C68">
      <w:pPr>
        <w:widowControl/>
        <w:spacing w:after="150"/>
        <w:jc w:val="left"/>
        <w:rPr>
          <w:rFonts w:ascii="宋体" w:hAnsi="宋体" w:eastAsia="宋体" w:cs="宋体"/>
          <w:kern w:val="0"/>
          <w:sz w:val="24"/>
          <w:szCs w:val="24"/>
        </w:rPr>
      </w:pPr>
      <w:r>
        <w:rPr>
          <w:rFonts w:hint="eastAsia" w:ascii="宋体" w:hAnsi="宋体" w:eastAsia="宋体" w:cs="宋体"/>
          <w:kern w:val="0"/>
          <w:szCs w:val="21"/>
        </w:rPr>
        <w:br w:type="textWrapping"/>
      </w:r>
      <w:r>
        <w:rPr>
          <w:rFonts w:hint="eastAsia" w:ascii="宋体" w:hAnsi="宋体" w:eastAsia="宋体" w:cs="宋体"/>
          <w:kern w:val="0"/>
          <w:szCs w:val="21"/>
        </w:rPr>
        <w:br w:type="textWrapping"/>
      </w:r>
      <w:r>
        <w:rPr>
          <w:rFonts w:hint="eastAsia" w:ascii="宋体" w:hAnsi="宋体" w:eastAsia="宋体" w:cs="宋体"/>
          <w:kern w:val="0"/>
          <w:szCs w:val="21"/>
        </w:rPr>
        <w:br w:type="textWrapping"/>
      </w:r>
    </w:p>
    <w:p w14:paraId="7F69992F">
      <w:pPr>
        <w:widowControl/>
        <w:spacing w:after="150"/>
        <w:jc w:val="center"/>
        <w:rPr>
          <w:rFonts w:ascii="宋体" w:hAnsi="宋体" w:eastAsia="宋体" w:cs="宋体"/>
          <w:kern w:val="0"/>
          <w:sz w:val="24"/>
          <w:szCs w:val="24"/>
        </w:rPr>
      </w:pPr>
      <w:r>
        <w:rPr>
          <w:rFonts w:hint="eastAsia" w:ascii="宋体" w:hAnsi="宋体" w:eastAsia="宋体" w:cs="宋体"/>
          <w:kern w:val="0"/>
          <w:szCs w:val="21"/>
        </w:rPr>
        <w:br w:type="textWrapping"/>
      </w:r>
      <w:r>
        <w:rPr>
          <w:rFonts w:hint="eastAsia" w:ascii="宋体" w:hAnsi="宋体" w:eastAsia="宋体" w:cs="宋体"/>
          <w:b/>
          <w:bCs/>
          <w:kern w:val="0"/>
          <w:szCs w:val="21"/>
        </w:rPr>
        <w:t>二-10联合体协议（若有）</w:t>
      </w:r>
    </w:p>
    <w:p w14:paraId="2AAFEBBE">
      <w:pPr>
        <w:widowControl/>
        <w:spacing w:after="150"/>
        <w:jc w:val="center"/>
        <w:rPr>
          <w:rFonts w:ascii="宋体" w:hAnsi="宋体" w:eastAsia="宋体" w:cs="宋体"/>
          <w:kern w:val="0"/>
          <w:sz w:val="24"/>
          <w:szCs w:val="24"/>
        </w:rPr>
      </w:pPr>
    </w:p>
    <w:p w14:paraId="3092632C">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14:paraId="12EAA6F7">
      <w:pPr>
        <w:widowControl/>
        <w:spacing w:after="150"/>
        <w:jc w:val="left"/>
        <w:rPr>
          <w:rFonts w:ascii="宋体" w:hAnsi="宋体" w:eastAsia="宋体" w:cs="宋体"/>
          <w:kern w:val="0"/>
          <w:sz w:val="24"/>
          <w:szCs w:val="24"/>
        </w:rPr>
      </w:pPr>
      <w:r>
        <w:rPr>
          <w:rFonts w:hint="eastAsia" w:ascii="宋体" w:hAnsi="宋体" w:eastAsia="宋体" w:cs="宋体"/>
          <w:kern w:val="0"/>
          <w:szCs w:val="21"/>
        </w:rPr>
        <w:t>致：</w:t>
      </w:r>
      <w:r>
        <w:rPr>
          <w:rFonts w:hint="eastAsia" w:ascii="宋体" w:hAnsi="宋体" w:eastAsia="宋体" w:cs="宋体"/>
          <w:kern w:val="0"/>
          <w:szCs w:val="21"/>
          <w:u w:val="single"/>
        </w:rPr>
        <w:t>           （采购人或采购代理机构） </w:t>
      </w:r>
    </w:p>
    <w:p w14:paraId="0E894724">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兹有</w:t>
      </w:r>
      <w:r>
        <w:rPr>
          <w:rFonts w:hint="eastAsia" w:ascii="宋体" w:hAnsi="宋体" w:eastAsia="宋体" w:cs="宋体"/>
          <w:kern w:val="0"/>
          <w:szCs w:val="21"/>
          <w:u w:val="single"/>
        </w:rPr>
        <w:t>（填写“联合体中各方的全称”，各方的全称之间请用“、”分割）</w:t>
      </w:r>
      <w:r>
        <w:rPr>
          <w:rFonts w:hint="eastAsia" w:ascii="宋体" w:hAnsi="宋体" w:eastAsia="宋体" w:cs="宋体"/>
          <w:kern w:val="0"/>
          <w:szCs w:val="21"/>
        </w:rPr>
        <w:t>自愿组成联合体，共同参加</w:t>
      </w:r>
      <w:r>
        <w:rPr>
          <w:rFonts w:hint="eastAsia" w:ascii="宋体" w:hAnsi="宋体" w:eastAsia="宋体" w:cs="宋体"/>
          <w:kern w:val="0"/>
          <w:szCs w:val="21"/>
          <w:u w:val="single"/>
        </w:rPr>
        <w:t>（填写“项目名称”） </w:t>
      </w:r>
      <w:r>
        <w:rPr>
          <w:rFonts w:hint="eastAsia" w:ascii="宋体" w:hAnsi="宋体" w:eastAsia="宋体" w:cs="宋体"/>
          <w:kern w:val="0"/>
          <w:szCs w:val="21"/>
        </w:rPr>
        <w:t>项目（项目编号：</w:t>
      </w:r>
      <w:r>
        <w:rPr>
          <w:rFonts w:hint="eastAsia" w:ascii="宋体" w:hAnsi="宋体" w:eastAsia="宋体" w:cs="宋体"/>
          <w:kern w:val="0"/>
          <w:szCs w:val="21"/>
          <w:u w:val="single"/>
        </w:rPr>
        <w:t>         </w:t>
      </w:r>
      <w:r>
        <w:rPr>
          <w:rFonts w:hint="eastAsia" w:ascii="宋体" w:hAnsi="宋体" w:eastAsia="宋体" w:cs="宋体"/>
          <w:kern w:val="0"/>
          <w:szCs w:val="21"/>
        </w:rPr>
        <w:t>）的投标。现就联合体参加本项目投标的有关事宜达成下列协议：</w:t>
      </w:r>
    </w:p>
    <w:p w14:paraId="296CE120">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一、联合体各方应承担的工作和义务具体如下：</w:t>
      </w:r>
    </w:p>
    <w:p w14:paraId="06932880">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1、牵头方（</w:t>
      </w:r>
      <w:r>
        <w:rPr>
          <w:rFonts w:hint="eastAsia" w:ascii="宋体" w:hAnsi="宋体" w:eastAsia="宋体" w:cs="宋体"/>
          <w:kern w:val="0"/>
          <w:szCs w:val="21"/>
          <w:u w:val="single"/>
        </w:rPr>
        <w:t>全称</w:t>
      </w:r>
      <w:r>
        <w:rPr>
          <w:rFonts w:hint="eastAsia" w:ascii="宋体" w:hAnsi="宋体" w:eastAsia="宋体" w:cs="宋体"/>
          <w:kern w:val="0"/>
          <w:szCs w:val="21"/>
        </w:rPr>
        <w:t>）：</w:t>
      </w:r>
      <w:r>
        <w:rPr>
          <w:rFonts w:hint="eastAsia" w:ascii="宋体" w:hAnsi="宋体" w:eastAsia="宋体" w:cs="宋体"/>
          <w:kern w:val="0"/>
          <w:szCs w:val="21"/>
          <w:u w:val="single"/>
        </w:rPr>
        <w:t> （填写“工作及义务的具体内容”） </w:t>
      </w:r>
      <w:r>
        <w:rPr>
          <w:rFonts w:hint="eastAsia" w:ascii="宋体" w:hAnsi="宋体" w:eastAsia="宋体" w:cs="宋体"/>
          <w:kern w:val="0"/>
          <w:szCs w:val="21"/>
        </w:rPr>
        <w:t>；</w:t>
      </w:r>
    </w:p>
    <w:p w14:paraId="40A2597C">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2、成员方：</w:t>
      </w:r>
    </w:p>
    <w:p w14:paraId="44298A77">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2.1</w:t>
      </w:r>
      <w:r>
        <w:rPr>
          <w:rFonts w:hint="eastAsia" w:ascii="宋体" w:hAnsi="宋体" w:eastAsia="宋体" w:cs="宋体"/>
          <w:kern w:val="0"/>
          <w:szCs w:val="21"/>
          <w:u w:val="single"/>
        </w:rPr>
        <w:t>（成员一的全称）</w:t>
      </w:r>
      <w:r>
        <w:rPr>
          <w:rFonts w:hint="eastAsia" w:ascii="宋体" w:hAnsi="宋体" w:eastAsia="宋体" w:cs="宋体"/>
          <w:kern w:val="0"/>
          <w:szCs w:val="21"/>
        </w:rPr>
        <w:t>：</w:t>
      </w:r>
      <w:r>
        <w:rPr>
          <w:rFonts w:hint="eastAsia" w:ascii="宋体" w:hAnsi="宋体" w:eastAsia="宋体" w:cs="宋体"/>
          <w:kern w:val="0"/>
          <w:szCs w:val="21"/>
          <w:u w:val="single"/>
        </w:rPr>
        <w:t> （填写“工作及义务的具体内容”） </w:t>
      </w:r>
      <w:r>
        <w:rPr>
          <w:rFonts w:hint="eastAsia" w:ascii="宋体" w:hAnsi="宋体" w:eastAsia="宋体" w:cs="宋体"/>
          <w:kern w:val="0"/>
          <w:szCs w:val="21"/>
        </w:rPr>
        <w:t>；</w:t>
      </w:r>
    </w:p>
    <w:p w14:paraId="32063539">
      <w:pPr>
        <w:widowControl/>
        <w:spacing w:after="150"/>
        <w:ind w:firstLine="420"/>
        <w:jc w:val="left"/>
        <w:rPr>
          <w:rFonts w:ascii="宋体" w:hAnsi="宋体" w:eastAsia="宋体" w:cs="宋体"/>
          <w:kern w:val="0"/>
          <w:sz w:val="24"/>
          <w:szCs w:val="24"/>
        </w:rPr>
      </w:pPr>
      <w:r>
        <w:rPr>
          <w:rFonts w:ascii="Calibri" w:hAnsi="Calibri" w:eastAsia="宋体" w:cs="Calibri"/>
          <w:kern w:val="0"/>
          <w:szCs w:val="21"/>
        </w:rPr>
        <w:t>……</w:t>
      </w:r>
      <w:r>
        <w:rPr>
          <w:rFonts w:hint="eastAsia" w:ascii="宋体" w:hAnsi="宋体" w:eastAsia="宋体" w:cs="宋体"/>
          <w:kern w:val="0"/>
          <w:szCs w:val="21"/>
        </w:rPr>
        <w:t>。</w:t>
      </w:r>
      <w:r>
        <w:rPr>
          <w:rFonts w:hint="eastAsia" w:ascii="宋体" w:hAnsi="宋体" w:eastAsia="宋体" w:cs="宋体"/>
          <w:kern w:val="0"/>
          <w:szCs w:val="21"/>
        </w:rPr>
        <w:br w:type="textWrapping"/>
      </w:r>
    </w:p>
    <w:p w14:paraId="026C1E66">
      <w:pPr>
        <w:widowControl/>
        <w:spacing w:before="75" w:after="75" w:line="293" w:lineRule="atLeast"/>
        <w:ind w:firstLine="435"/>
        <w:jc w:val="left"/>
        <w:rPr>
          <w:rFonts w:ascii="宋体" w:hAnsi="宋体" w:eastAsia="宋体" w:cs="宋体"/>
          <w:kern w:val="0"/>
          <w:sz w:val="24"/>
          <w:szCs w:val="24"/>
        </w:rPr>
      </w:pPr>
      <w:r>
        <w:rPr>
          <w:rFonts w:hint="eastAsia" w:ascii="宋体" w:hAnsi="宋体" w:eastAsia="宋体" w:cs="宋体"/>
          <w:kern w:val="0"/>
          <w:szCs w:val="21"/>
        </w:rPr>
        <w:t>二、联合体各方的合同金额占比，具体如下：</w:t>
      </w:r>
    </w:p>
    <w:p w14:paraId="7E2AEE22">
      <w:pPr>
        <w:widowControl/>
        <w:spacing w:after="150" w:line="293" w:lineRule="atLeast"/>
        <w:ind w:firstLine="435"/>
        <w:jc w:val="left"/>
        <w:rPr>
          <w:rFonts w:ascii="宋体" w:hAnsi="宋体" w:eastAsia="宋体" w:cs="宋体"/>
          <w:kern w:val="0"/>
          <w:sz w:val="24"/>
          <w:szCs w:val="24"/>
        </w:rPr>
      </w:pPr>
      <w:r>
        <w:rPr>
          <w:rFonts w:hint="eastAsia" w:ascii="宋体" w:hAnsi="宋体" w:eastAsia="宋体" w:cs="宋体"/>
          <w:kern w:val="0"/>
          <w:szCs w:val="21"/>
        </w:rPr>
        <w:t>1.牵头方（</w:t>
      </w:r>
      <w:r>
        <w:rPr>
          <w:rFonts w:hint="eastAsia" w:ascii="宋体" w:hAnsi="宋体" w:eastAsia="宋体" w:cs="宋体"/>
          <w:kern w:val="0"/>
          <w:szCs w:val="21"/>
          <w:u w:val="single"/>
        </w:rPr>
        <w:t>  全称 </w:t>
      </w:r>
      <w:r>
        <w:rPr>
          <w:rFonts w:hint="eastAsia" w:ascii="宋体" w:hAnsi="宋体" w:eastAsia="宋体" w:cs="宋体"/>
          <w:kern w:val="0"/>
          <w:szCs w:val="21"/>
        </w:rPr>
        <w:t>）的合同金额占合同总额的＿%；</w:t>
      </w:r>
    </w:p>
    <w:p w14:paraId="73B2108E">
      <w:pPr>
        <w:widowControl/>
        <w:spacing w:after="150" w:line="293" w:lineRule="atLeast"/>
        <w:ind w:firstLine="435"/>
        <w:jc w:val="left"/>
        <w:rPr>
          <w:rFonts w:ascii="宋体" w:hAnsi="宋体" w:eastAsia="宋体" w:cs="宋体"/>
          <w:kern w:val="0"/>
          <w:sz w:val="24"/>
          <w:szCs w:val="24"/>
        </w:rPr>
      </w:pPr>
      <w:r>
        <w:rPr>
          <w:rFonts w:hint="eastAsia" w:ascii="宋体" w:hAnsi="宋体" w:eastAsia="宋体" w:cs="宋体"/>
          <w:kern w:val="0"/>
          <w:szCs w:val="21"/>
        </w:rPr>
        <w:t>2.成员方：</w:t>
      </w:r>
    </w:p>
    <w:p w14:paraId="1BBC35D2">
      <w:pPr>
        <w:widowControl/>
        <w:spacing w:after="150" w:line="293" w:lineRule="atLeast"/>
        <w:ind w:firstLine="435"/>
        <w:jc w:val="left"/>
        <w:rPr>
          <w:rFonts w:ascii="宋体" w:hAnsi="宋体" w:eastAsia="宋体" w:cs="宋体"/>
          <w:kern w:val="0"/>
          <w:sz w:val="24"/>
          <w:szCs w:val="24"/>
        </w:rPr>
      </w:pPr>
      <w:r>
        <w:rPr>
          <w:rFonts w:hint="eastAsia" w:ascii="宋体" w:hAnsi="宋体" w:eastAsia="宋体" w:cs="宋体"/>
          <w:kern w:val="0"/>
          <w:szCs w:val="21"/>
        </w:rPr>
        <w:t>2.1（</w:t>
      </w:r>
      <w:r>
        <w:rPr>
          <w:rFonts w:hint="eastAsia" w:ascii="宋体" w:hAnsi="宋体" w:eastAsia="宋体" w:cs="宋体"/>
          <w:kern w:val="0"/>
          <w:szCs w:val="21"/>
          <w:u w:val="single"/>
        </w:rPr>
        <w:t> 成员1的全称 </w:t>
      </w:r>
      <w:r>
        <w:rPr>
          <w:rFonts w:hint="eastAsia" w:ascii="宋体" w:hAnsi="宋体" w:eastAsia="宋体" w:cs="宋体"/>
          <w:kern w:val="0"/>
          <w:szCs w:val="21"/>
        </w:rPr>
        <w:t>）的合同金额占合同总额的＿%；</w:t>
      </w:r>
    </w:p>
    <w:p w14:paraId="3987C2E9">
      <w:pPr>
        <w:widowControl/>
        <w:spacing w:before="75" w:after="75" w:line="293" w:lineRule="atLeast"/>
        <w:ind w:firstLine="435"/>
        <w:jc w:val="left"/>
        <w:rPr>
          <w:rFonts w:ascii="宋体" w:hAnsi="宋体" w:eastAsia="宋体" w:cs="宋体"/>
          <w:kern w:val="0"/>
          <w:sz w:val="24"/>
          <w:szCs w:val="24"/>
        </w:rPr>
      </w:pPr>
      <w:r>
        <w:rPr>
          <w:rFonts w:hint="eastAsia" w:ascii="宋体" w:hAnsi="宋体" w:eastAsia="宋体" w:cs="宋体"/>
          <w:kern w:val="0"/>
          <w:szCs w:val="21"/>
        </w:rPr>
        <w:t>……。</w:t>
      </w:r>
    </w:p>
    <w:p w14:paraId="290A0384">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三、联合体各方约定：</w:t>
      </w:r>
    </w:p>
    <w:p w14:paraId="4A8B7D4F">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1、由</w:t>
      </w:r>
      <w:r>
        <w:rPr>
          <w:rFonts w:hint="eastAsia" w:ascii="宋体" w:hAnsi="宋体" w:eastAsia="宋体" w:cs="宋体"/>
          <w:kern w:val="0"/>
          <w:szCs w:val="21"/>
          <w:u w:val="single"/>
        </w:rPr>
        <w:t>（填写“牵头方的全称”）</w:t>
      </w:r>
      <w:r>
        <w:rPr>
          <w:rFonts w:hint="eastAsia" w:ascii="宋体" w:hAnsi="宋体" w:eastAsia="宋体" w:cs="宋体"/>
          <w:kern w:val="0"/>
          <w:szCs w:val="21"/>
        </w:rPr>
        <w:t>代表联合体办理参加本项目投标的有关事宜（包括但不限于：注册账号、派出投标人代表、提交投标文件及参加开标、谈判、澄清等），在此过程中，投标人代表签字的一切文件和处理结果，联合体均予以认可并对此承担责任。</w:t>
      </w:r>
    </w:p>
    <w:p w14:paraId="0BE77DAA">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2、联合体各方约定由</w:t>
      </w:r>
      <w:r>
        <w:rPr>
          <w:rFonts w:hint="eastAsia" w:ascii="宋体" w:hAnsi="宋体" w:eastAsia="宋体" w:cs="宋体"/>
          <w:kern w:val="0"/>
          <w:szCs w:val="21"/>
          <w:u w:val="single"/>
        </w:rPr>
        <w:t>（填写“牵头方的全称”）</w:t>
      </w:r>
      <w:r>
        <w:rPr>
          <w:rFonts w:hint="eastAsia" w:ascii="宋体" w:hAnsi="宋体" w:eastAsia="宋体" w:cs="宋体"/>
          <w:kern w:val="0"/>
          <w:szCs w:val="21"/>
        </w:rPr>
        <w:t>代表联合体办理投标保证金事宜。</w:t>
      </w:r>
    </w:p>
    <w:p w14:paraId="1941D319">
      <w:pPr>
        <w:widowControl/>
        <w:spacing w:after="150"/>
        <w:jc w:val="left"/>
        <w:rPr>
          <w:rFonts w:ascii="宋体" w:hAnsi="宋体" w:eastAsia="宋体" w:cs="宋体"/>
          <w:kern w:val="0"/>
          <w:sz w:val="24"/>
          <w:szCs w:val="24"/>
        </w:rPr>
      </w:pPr>
      <w:r>
        <w:rPr>
          <w:rFonts w:hint="eastAsia" w:ascii="宋体" w:hAnsi="宋体" w:eastAsia="宋体" w:cs="宋体"/>
          <w:kern w:val="0"/>
          <w:szCs w:val="21"/>
        </w:rPr>
        <w:t>  3、</w:t>
      </w:r>
      <w:r>
        <w:rPr>
          <w:rFonts w:hint="eastAsia" w:ascii="宋体" w:hAnsi="宋体" w:eastAsia="宋体" w:cs="宋体"/>
          <w:color w:val="000000"/>
          <w:kern w:val="0"/>
          <w:szCs w:val="21"/>
        </w:rPr>
        <w:t>根据福建省财政厅文件（闽财购[2008]10号）的规定，若本项目采用综合评分法，则联合体只能确定由其中一方的条件参与商务部分的评标。因此，联合体各方约定以</w:t>
      </w:r>
      <w:r>
        <w:rPr>
          <w:rFonts w:hint="eastAsia" w:ascii="宋体" w:hAnsi="宋体" w:eastAsia="宋体" w:cs="宋体"/>
          <w:color w:val="000000"/>
          <w:kern w:val="0"/>
          <w:szCs w:val="21"/>
          <w:u w:val="single"/>
        </w:rPr>
        <w:t>（应填写“其中一方的全称”，如：联合体确定以成员一的条件参与商务部分的评标，则填写“成员一的全称”…；否则填写“无”）</w:t>
      </w:r>
      <w:r>
        <w:rPr>
          <w:rFonts w:hint="eastAsia" w:ascii="宋体" w:hAnsi="宋体" w:eastAsia="宋体" w:cs="宋体"/>
          <w:color w:val="000000"/>
          <w:kern w:val="0"/>
          <w:szCs w:val="21"/>
        </w:rPr>
        <w:t>的条件参与商务部分的评标。</w:t>
      </w:r>
    </w:p>
    <w:p w14:paraId="24604783">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四、若中标，牵头方将代表联合体与采购人就合同签订事宜进行协商；若协商一致，则联合体各方将共同与采购人签订政府采购合同，并就政府采购合同约定的事项对采购人承担连带责任。</w:t>
      </w:r>
    </w:p>
    <w:p w14:paraId="60724CE2">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五、本协议自签署之日起生效，政府采购合同履行完毕后自动失效。</w:t>
      </w:r>
    </w:p>
    <w:p w14:paraId="246C83AC">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六、本协议一式</w:t>
      </w:r>
      <w:r>
        <w:rPr>
          <w:rFonts w:hint="eastAsia" w:ascii="宋体" w:hAnsi="宋体" w:eastAsia="宋体" w:cs="宋体"/>
          <w:kern w:val="0"/>
          <w:szCs w:val="21"/>
          <w:u w:val="single"/>
        </w:rPr>
        <w:t>（填写具体份数）</w:t>
      </w:r>
      <w:r>
        <w:rPr>
          <w:rFonts w:hint="eastAsia" w:ascii="宋体" w:hAnsi="宋体" w:eastAsia="宋体" w:cs="宋体"/>
          <w:kern w:val="0"/>
          <w:szCs w:val="21"/>
        </w:rPr>
        <w:t>份，联合体各方各执一份，投标文件中提交一份。</w:t>
      </w:r>
    </w:p>
    <w:p w14:paraId="6D17A4EE">
      <w:pPr>
        <w:widowControl/>
        <w:spacing w:after="150"/>
        <w:jc w:val="center"/>
        <w:rPr>
          <w:rFonts w:ascii="宋体" w:hAnsi="宋体" w:eastAsia="宋体" w:cs="宋体"/>
          <w:kern w:val="0"/>
          <w:sz w:val="24"/>
          <w:szCs w:val="24"/>
        </w:rPr>
      </w:pPr>
      <w:r>
        <w:rPr>
          <w:rFonts w:hint="eastAsia" w:ascii="宋体" w:hAnsi="宋体" w:eastAsia="宋体" w:cs="宋体"/>
          <w:kern w:val="0"/>
          <w:szCs w:val="21"/>
        </w:rPr>
        <w:t>（以下无正文）</w:t>
      </w:r>
    </w:p>
    <w:p w14:paraId="58D77334">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14:paraId="1AC3D0E6">
      <w:pPr>
        <w:widowControl/>
        <w:spacing w:after="150"/>
        <w:jc w:val="left"/>
        <w:rPr>
          <w:rFonts w:ascii="宋体" w:hAnsi="宋体" w:eastAsia="宋体" w:cs="宋体"/>
          <w:kern w:val="0"/>
          <w:sz w:val="24"/>
          <w:szCs w:val="24"/>
        </w:rPr>
      </w:pPr>
      <w:r>
        <w:rPr>
          <w:rFonts w:hint="eastAsia" w:ascii="宋体" w:hAnsi="宋体" w:eastAsia="宋体" w:cs="宋体"/>
          <w:kern w:val="0"/>
          <w:szCs w:val="21"/>
        </w:rPr>
        <w:t>牵头方：</w:t>
      </w:r>
      <w:r>
        <w:rPr>
          <w:rFonts w:hint="eastAsia" w:ascii="宋体" w:hAnsi="宋体" w:eastAsia="宋体" w:cs="宋体"/>
          <w:kern w:val="0"/>
          <w:szCs w:val="21"/>
          <w:u w:val="single"/>
        </w:rPr>
        <w:t>（全称并加盖单位公章）</w:t>
      </w:r>
    </w:p>
    <w:p w14:paraId="4100DCB2">
      <w:pPr>
        <w:widowControl/>
        <w:spacing w:after="150"/>
        <w:jc w:val="left"/>
        <w:rPr>
          <w:rFonts w:ascii="宋体" w:hAnsi="宋体" w:eastAsia="宋体" w:cs="宋体"/>
          <w:kern w:val="0"/>
          <w:sz w:val="24"/>
          <w:szCs w:val="24"/>
        </w:rPr>
      </w:pPr>
      <w:r>
        <w:rPr>
          <w:rFonts w:hint="eastAsia" w:ascii="宋体" w:hAnsi="宋体" w:eastAsia="宋体" w:cs="宋体"/>
          <w:kern w:val="0"/>
          <w:szCs w:val="21"/>
        </w:rPr>
        <w:t>法定代表人或其委托代理人：</w:t>
      </w:r>
      <w:r>
        <w:rPr>
          <w:rFonts w:hint="eastAsia" w:ascii="宋体" w:hAnsi="宋体" w:eastAsia="宋体" w:cs="宋体"/>
          <w:kern w:val="0"/>
          <w:szCs w:val="21"/>
          <w:u w:val="single"/>
        </w:rPr>
        <w:t>  （签字或盖章）  </w:t>
      </w:r>
    </w:p>
    <w:p w14:paraId="2F0F17B6">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14:paraId="71D6790E">
      <w:pPr>
        <w:widowControl/>
        <w:spacing w:after="150"/>
        <w:jc w:val="left"/>
        <w:rPr>
          <w:rFonts w:ascii="宋体" w:hAnsi="宋体" w:eastAsia="宋体" w:cs="宋体"/>
          <w:kern w:val="0"/>
          <w:sz w:val="24"/>
          <w:szCs w:val="24"/>
        </w:rPr>
      </w:pPr>
      <w:r>
        <w:rPr>
          <w:rFonts w:hint="eastAsia" w:ascii="宋体" w:hAnsi="宋体" w:eastAsia="宋体" w:cs="宋体"/>
          <w:kern w:val="0"/>
          <w:szCs w:val="21"/>
        </w:rPr>
        <w:t>成员一：</w:t>
      </w:r>
      <w:r>
        <w:rPr>
          <w:rFonts w:hint="eastAsia" w:ascii="宋体" w:hAnsi="宋体" w:eastAsia="宋体" w:cs="宋体"/>
          <w:kern w:val="0"/>
          <w:szCs w:val="21"/>
          <w:u w:val="single"/>
        </w:rPr>
        <w:t>（全称并加盖成员一的单位公章）</w:t>
      </w:r>
    </w:p>
    <w:p w14:paraId="6E412DA6">
      <w:pPr>
        <w:widowControl/>
        <w:spacing w:after="150"/>
        <w:jc w:val="left"/>
        <w:rPr>
          <w:rFonts w:ascii="宋体" w:hAnsi="宋体" w:eastAsia="宋体" w:cs="宋体"/>
          <w:kern w:val="0"/>
          <w:sz w:val="24"/>
          <w:szCs w:val="24"/>
        </w:rPr>
      </w:pPr>
      <w:r>
        <w:rPr>
          <w:rFonts w:hint="eastAsia" w:ascii="宋体" w:hAnsi="宋体" w:eastAsia="宋体" w:cs="宋体"/>
          <w:kern w:val="0"/>
          <w:szCs w:val="21"/>
        </w:rPr>
        <w:t>法定代表人或其委托代理人：</w:t>
      </w:r>
      <w:r>
        <w:rPr>
          <w:rFonts w:hint="eastAsia" w:ascii="宋体" w:hAnsi="宋体" w:eastAsia="宋体" w:cs="宋体"/>
          <w:kern w:val="0"/>
          <w:szCs w:val="21"/>
          <w:u w:val="single"/>
        </w:rPr>
        <w:t>  （签字或盖章）  </w:t>
      </w:r>
    </w:p>
    <w:p w14:paraId="4D2238F7">
      <w:pPr>
        <w:widowControl/>
        <w:spacing w:after="150"/>
        <w:jc w:val="left"/>
        <w:rPr>
          <w:rFonts w:ascii="宋体" w:hAnsi="宋体" w:eastAsia="宋体" w:cs="宋体"/>
          <w:kern w:val="0"/>
          <w:sz w:val="24"/>
          <w:szCs w:val="24"/>
        </w:rPr>
      </w:pPr>
      <w:r>
        <w:rPr>
          <w:rFonts w:hint="eastAsia" w:ascii="宋体" w:hAnsi="宋体" w:eastAsia="宋体" w:cs="宋体"/>
          <w:kern w:val="0"/>
          <w:szCs w:val="21"/>
        </w:rPr>
        <w:t>……</w:t>
      </w:r>
    </w:p>
    <w:p w14:paraId="12D63872">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14:paraId="1D43D80A">
      <w:pPr>
        <w:widowControl/>
        <w:spacing w:after="150"/>
        <w:jc w:val="left"/>
        <w:rPr>
          <w:rFonts w:ascii="宋体" w:hAnsi="宋体" w:eastAsia="宋体" w:cs="宋体"/>
          <w:kern w:val="0"/>
          <w:sz w:val="24"/>
          <w:szCs w:val="24"/>
        </w:rPr>
      </w:pPr>
      <w:r>
        <w:rPr>
          <w:rFonts w:hint="eastAsia" w:ascii="宋体" w:hAnsi="宋体" w:eastAsia="宋体" w:cs="宋体"/>
          <w:kern w:val="0"/>
          <w:szCs w:val="21"/>
        </w:rPr>
        <w:t>成员**：</w:t>
      </w:r>
      <w:r>
        <w:rPr>
          <w:rFonts w:hint="eastAsia" w:ascii="宋体" w:hAnsi="宋体" w:eastAsia="宋体" w:cs="宋体"/>
          <w:kern w:val="0"/>
          <w:szCs w:val="21"/>
          <w:u w:val="single"/>
        </w:rPr>
        <w:t>（全称并加盖成员**的单位公章）</w:t>
      </w:r>
    </w:p>
    <w:p w14:paraId="5FA4BD7F">
      <w:pPr>
        <w:widowControl/>
        <w:spacing w:after="150"/>
        <w:jc w:val="left"/>
        <w:rPr>
          <w:rFonts w:ascii="宋体" w:hAnsi="宋体" w:eastAsia="宋体" w:cs="宋体"/>
          <w:kern w:val="0"/>
          <w:sz w:val="24"/>
          <w:szCs w:val="24"/>
        </w:rPr>
      </w:pPr>
      <w:r>
        <w:rPr>
          <w:rFonts w:hint="eastAsia" w:ascii="宋体" w:hAnsi="宋体" w:eastAsia="宋体" w:cs="宋体"/>
          <w:kern w:val="0"/>
          <w:szCs w:val="21"/>
        </w:rPr>
        <w:t>法定代表人或其委托代理人：</w:t>
      </w:r>
      <w:r>
        <w:rPr>
          <w:rFonts w:hint="eastAsia" w:ascii="宋体" w:hAnsi="宋体" w:eastAsia="宋体" w:cs="宋体"/>
          <w:kern w:val="0"/>
          <w:szCs w:val="21"/>
          <w:u w:val="single"/>
        </w:rPr>
        <w:t>  （签字或盖章）  </w:t>
      </w:r>
    </w:p>
    <w:p w14:paraId="07E594ED">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14:paraId="6DE32BC9">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14:paraId="0B7800B0">
      <w:pPr>
        <w:widowControl/>
        <w:spacing w:after="150"/>
        <w:jc w:val="right"/>
        <w:rPr>
          <w:rFonts w:ascii="宋体" w:hAnsi="宋体" w:eastAsia="宋体" w:cs="宋体"/>
          <w:kern w:val="0"/>
          <w:sz w:val="24"/>
          <w:szCs w:val="24"/>
        </w:rPr>
      </w:pPr>
      <w:r>
        <w:rPr>
          <w:rFonts w:hint="eastAsia" w:ascii="宋体" w:hAnsi="宋体" w:eastAsia="宋体" w:cs="宋体"/>
          <w:kern w:val="0"/>
          <w:szCs w:val="21"/>
        </w:rPr>
        <w:t>签署日期：</w:t>
      </w:r>
      <w:r>
        <w:rPr>
          <w:rFonts w:hint="eastAsia" w:ascii="宋体" w:hAnsi="宋体" w:eastAsia="宋体" w:cs="宋体"/>
          <w:kern w:val="0"/>
          <w:szCs w:val="21"/>
          <w:u w:val="single"/>
        </w:rPr>
        <w:t>    </w:t>
      </w:r>
      <w:r>
        <w:rPr>
          <w:rFonts w:hint="eastAsia" w:ascii="宋体" w:hAnsi="宋体" w:eastAsia="宋体" w:cs="宋体"/>
          <w:kern w:val="0"/>
          <w:szCs w:val="21"/>
        </w:rPr>
        <w:t>年</w:t>
      </w:r>
      <w:r>
        <w:rPr>
          <w:rFonts w:hint="eastAsia" w:ascii="宋体" w:hAnsi="宋体" w:eastAsia="宋体" w:cs="宋体"/>
          <w:kern w:val="0"/>
          <w:szCs w:val="21"/>
          <w:u w:val="single"/>
        </w:rPr>
        <w:t>   </w:t>
      </w:r>
      <w:r>
        <w:rPr>
          <w:rFonts w:hint="eastAsia" w:ascii="宋体" w:hAnsi="宋体" w:eastAsia="宋体" w:cs="宋体"/>
          <w:kern w:val="0"/>
          <w:szCs w:val="21"/>
        </w:rPr>
        <w:t>月</w:t>
      </w:r>
      <w:r>
        <w:rPr>
          <w:rFonts w:hint="eastAsia" w:ascii="宋体" w:hAnsi="宋体" w:eastAsia="宋体" w:cs="宋体"/>
          <w:kern w:val="0"/>
          <w:szCs w:val="21"/>
          <w:u w:val="single"/>
        </w:rPr>
        <w:t>   </w:t>
      </w:r>
      <w:r>
        <w:rPr>
          <w:rFonts w:hint="eastAsia" w:ascii="宋体" w:hAnsi="宋体" w:eastAsia="宋体" w:cs="宋体"/>
          <w:kern w:val="0"/>
          <w:szCs w:val="21"/>
        </w:rPr>
        <w:t>日</w:t>
      </w:r>
    </w:p>
    <w:p w14:paraId="7CE9B60F">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14:paraId="0BC3F1A9">
      <w:pPr>
        <w:widowControl/>
        <w:spacing w:after="150"/>
        <w:jc w:val="left"/>
        <w:rPr>
          <w:rFonts w:ascii="宋体" w:hAnsi="宋体" w:eastAsia="宋体" w:cs="宋体"/>
          <w:kern w:val="0"/>
          <w:sz w:val="24"/>
          <w:szCs w:val="24"/>
        </w:rPr>
      </w:pPr>
      <w:r>
        <w:rPr>
          <w:rFonts w:hint="eastAsia" w:ascii="宋体" w:hAnsi="宋体" w:eastAsia="宋体" w:cs="宋体"/>
          <w:kern w:val="0"/>
          <w:szCs w:val="21"/>
        </w:rPr>
        <w:t>※注意：</w:t>
      </w:r>
    </w:p>
    <w:p w14:paraId="08F0178C">
      <w:pPr>
        <w:widowControl/>
        <w:spacing w:after="150"/>
        <w:jc w:val="left"/>
        <w:rPr>
          <w:rFonts w:ascii="宋体" w:hAnsi="宋体" w:eastAsia="宋体" w:cs="宋体"/>
          <w:kern w:val="0"/>
          <w:sz w:val="24"/>
          <w:szCs w:val="24"/>
        </w:rPr>
      </w:pPr>
      <w:r>
        <w:rPr>
          <w:rFonts w:hint="eastAsia" w:ascii="宋体" w:hAnsi="宋体" w:eastAsia="宋体" w:cs="宋体"/>
          <w:kern w:val="0"/>
          <w:szCs w:val="21"/>
        </w:rPr>
        <w:t>1、招标文件接受联合体投标且投标人为联合体的，投标人应提供本协议；否则无须提供。</w:t>
      </w:r>
    </w:p>
    <w:p w14:paraId="19BAC0DD">
      <w:pPr>
        <w:widowControl/>
        <w:spacing w:after="150"/>
        <w:jc w:val="left"/>
        <w:rPr>
          <w:rFonts w:ascii="宋体" w:hAnsi="宋体" w:eastAsia="宋体" w:cs="宋体"/>
          <w:kern w:val="0"/>
          <w:sz w:val="24"/>
          <w:szCs w:val="24"/>
        </w:rPr>
      </w:pPr>
      <w:r>
        <w:rPr>
          <w:rFonts w:hint="eastAsia" w:ascii="宋体" w:hAnsi="宋体" w:eastAsia="宋体" w:cs="宋体"/>
          <w:kern w:val="0"/>
          <w:szCs w:val="21"/>
        </w:rPr>
        <w:t>2、本协议由委托代理人签字或盖章的，应按照本章载明的格式提供“单位授权书”。</w:t>
      </w:r>
    </w:p>
    <w:p w14:paraId="52C184EC">
      <w:pPr>
        <w:widowControl/>
        <w:spacing w:before="75" w:after="75"/>
        <w:jc w:val="left"/>
        <w:rPr>
          <w:rFonts w:ascii="宋体" w:hAnsi="宋体" w:eastAsia="宋体" w:cs="宋体"/>
          <w:kern w:val="0"/>
          <w:sz w:val="24"/>
          <w:szCs w:val="24"/>
        </w:rPr>
      </w:pPr>
      <w:r>
        <w:rPr>
          <w:rFonts w:hint="eastAsia" w:ascii="宋体" w:hAnsi="宋体" w:eastAsia="宋体" w:cs="宋体"/>
          <w:kern w:val="0"/>
          <w:szCs w:val="21"/>
        </w:rPr>
        <w:t>3、在以联合体形式落实中小企业预留份额项目中，投标人除了要提供《中小企业声明函》，还需提供本协议。 </w:t>
      </w:r>
    </w:p>
    <w:p w14:paraId="6FE61F65">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14:paraId="0CA31740">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r>
        <w:rPr>
          <w:rFonts w:hint="eastAsia" w:ascii="宋体" w:hAnsi="宋体" w:eastAsia="宋体" w:cs="宋体"/>
          <w:kern w:val="0"/>
          <w:szCs w:val="21"/>
        </w:rPr>
        <w:br w:type="textWrapping"/>
      </w:r>
      <w:r>
        <w:rPr>
          <w:rFonts w:hint="eastAsia" w:ascii="宋体" w:hAnsi="宋体" w:eastAsia="宋体" w:cs="宋体"/>
          <w:kern w:val="0"/>
          <w:szCs w:val="21"/>
        </w:rPr>
        <w:br w:type="textWrapping"/>
      </w:r>
    </w:p>
    <w:p w14:paraId="0BB15681">
      <w:pPr>
        <w:widowControl/>
        <w:jc w:val="center"/>
        <w:outlineLvl w:val="3"/>
        <w:rPr>
          <w:rFonts w:ascii="Helvetica" w:hAnsi="Helvetica" w:eastAsia="宋体" w:cs="Helvetica"/>
          <w:kern w:val="0"/>
          <w:sz w:val="27"/>
          <w:szCs w:val="27"/>
        </w:rPr>
      </w:pPr>
      <w:r>
        <w:rPr>
          <w:rFonts w:hint="eastAsia" w:ascii="宋体" w:hAnsi="宋体" w:eastAsia="宋体" w:cs="Helvetica"/>
          <w:b/>
          <w:bCs/>
          <w:kern w:val="0"/>
          <w:sz w:val="27"/>
          <w:szCs w:val="27"/>
        </w:rPr>
        <w:t>二-11分包意向协议（若有）</w:t>
      </w:r>
    </w:p>
    <w:p w14:paraId="2A27E981">
      <w:pPr>
        <w:widowControl/>
        <w:spacing w:after="150" w:line="435" w:lineRule="atLeast"/>
        <w:jc w:val="left"/>
        <w:rPr>
          <w:rFonts w:ascii="宋体" w:hAnsi="宋体" w:eastAsia="宋体" w:cs="宋体"/>
          <w:kern w:val="0"/>
          <w:sz w:val="24"/>
          <w:szCs w:val="24"/>
        </w:rPr>
      </w:pPr>
      <w:r>
        <w:rPr>
          <w:rFonts w:hint="eastAsia" w:ascii="宋体" w:hAnsi="宋体" w:eastAsia="宋体" w:cs="宋体"/>
          <w:kern w:val="0"/>
          <w:szCs w:val="21"/>
        </w:rPr>
        <w:t>甲方（总包方）：</w:t>
      </w:r>
      <w:r>
        <w:rPr>
          <w:rFonts w:hint="eastAsia" w:ascii="宋体" w:hAnsi="宋体" w:eastAsia="宋体" w:cs="宋体"/>
          <w:kern w:val="0"/>
          <w:szCs w:val="21"/>
          <w:u w:val="single"/>
        </w:rPr>
        <w:t>                          　　　     </w:t>
      </w:r>
      <w:r>
        <w:rPr>
          <w:rFonts w:ascii="宋体" w:hAnsi="宋体" w:eastAsia="宋体" w:cs="宋体"/>
          <w:kern w:val="0"/>
          <w:sz w:val="24"/>
          <w:szCs w:val="24"/>
          <w:u w:val="single"/>
        </w:rPr>
        <w:t>　</w:t>
      </w:r>
      <w:r>
        <w:rPr>
          <w:rFonts w:hint="eastAsia" w:ascii="宋体" w:hAnsi="宋体" w:eastAsia="宋体" w:cs="宋体"/>
          <w:kern w:val="0"/>
          <w:szCs w:val="21"/>
        </w:rPr>
        <w:t>（即本项目的投标人）</w:t>
      </w:r>
    </w:p>
    <w:p w14:paraId="3C181F1F">
      <w:pPr>
        <w:widowControl/>
        <w:spacing w:before="75" w:after="75" w:line="293" w:lineRule="atLeast"/>
        <w:jc w:val="left"/>
        <w:rPr>
          <w:rFonts w:ascii="宋体" w:hAnsi="宋体" w:eastAsia="宋体" w:cs="宋体"/>
          <w:kern w:val="0"/>
          <w:sz w:val="24"/>
          <w:szCs w:val="24"/>
        </w:rPr>
      </w:pPr>
      <w:r>
        <w:rPr>
          <w:rFonts w:hint="eastAsia" w:ascii="宋体" w:hAnsi="宋体" w:eastAsia="宋体" w:cs="宋体"/>
          <w:kern w:val="0"/>
          <w:szCs w:val="21"/>
        </w:rPr>
        <w:t>乙方（分包方）：</w:t>
      </w:r>
      <w:r>
        <w:rPr>
          <w:rFonts w:hint="eastAsia" w:ascii="宋体" w:hAnsi="宋体" w:eastAsia="宋体" w:cs="宋体"/>
          <w:kern w:val="0"/>
          <w:szCs w:val="21"/>
          <w:u w:val="single"/>
        </w:rPr>
        <w:t>                     　　　　　　　    </w:t>
      </w:r>
    </w:p>
    <w:p w14:paraId="1FDDE43B">
      <w:pPr>
        <w:widowControl/>
        <w:spacing w:before="75" w:after="75" w:line="293" w:lineRule="atLeast"/>
        <w:ind w:firstLine="435"/>
        <w:jc w:val="left"/>
        <w:rPr>
          <w:rFonts w:ascii="宋体" w:hAnsi="宋体" w:eastAsia="宋体" w:cs="宋体"/>
          <w:kern w:val="0"/>
          <w:sz w:val="24"/>
          <w:szCs w:val="24"/>
        </w:rPr>
      </w:pPr>
      <w:r>
        <w:rPr>
          <w:rFonts w:hint="eastAsia" w:ascii="宋体" w:hAnsi="宋体" w:eastAsia="宋体" w:cs="宋体"/>
          <w:kern w:val="0"/>
          <w:szCs w:val="21"/>
        </w:rPr>
        <w:t>兹有甲方参加</w:t>
      </w:r>
      <w:r>
        <w:rPr>
          <w:rFonts w:hint="eastAsia" w:ascii="宋体" w:hAnsi="宋体" w:eastAsia="宋体" w:cs="宋体"/>
          <w:kern w:val="0"/>
          <w:szCs w:val="21"/>
          <w:u w:val="single"/>
        </w:rPr>
        <w:t>（填写“项目名称”） </w:t>
      </w:r>
      <w:r>
        <w:rPr>
          <w:rFonts w:hint="eastAsia" w:ascii="宋体" w:hAnsi="宋体" w:eastAsia="宋体" w:cs="宋体"/>
          <w:kern w:val="0"/>
          <w:szCs w:val="21"/>
        </w:rPr>
        <w:t>项目（项目编号：</w:t>
      </w:r>
      <w:r>
        <w:rPr>
          <w:rFonts w:ascii="Calibri" w:hAnsi="Calibri" w:eastAsia="宋体" w:cs="Calibri"/>
          <w:kern w:val="0"/>
          <w:szCs w:val="21"/>
          <w:u w:val="single"/>
        </w:rPr>
        <w:t>         </w:t>
      </w:r>
      <w:r>
        <w:rPr>
          <w:rFonts w:hint="eastAsia" w:ascii="宋体" w:hAnsi="宋体" w:eastAsia="宋体" w:cs="宋体"/>
          <w:kern w:val="0"/>
          <w:szCs w:val="21"/>
        </w:rPr>
        <w:t>）的政府采购活动。甲方期望将采购项目的部分采购标的分包给乙方完成，而乙方保证能够向甲方提供本协议项下的采购标的，甲、乙双方就合同分包的有关事宜达成下列协议：</w:t>
      </w:r>
    </w:p>
    <w:p w14:paraId="2303BB38">
      <w:pPr>
        <w:widowControl/>
        <w:spacing w:line="293" w:lineRule="atLeast"/>
        <w:ind w:firstLine="480"/>
        <w:jc w:val="left"/>
        <w:rPr>
          <w:rFonts w:ascii="宋体" w:hAnsi="宋体" w:eastAsia="宋体" w:cs="宋体"/>
          <w:kern w:val="0"/>
          <w:sz w:val="24"/>
          <w:szCs w:val="24"/>
        </w:rPr>
      </w:pPr>
      <w:r>
        <w:rPr>
          <w:rFonts w:hint="eastAsia" w:ascii="宋体" w:hAnsi="宋体" w:eastAsia="宋体" w:cs="宋体"/>
          <w:b/>
          <w:bCs/>
          <w:kern w:val="0"/>
          <w:szCs w:val="21"/>
        </w:rPr>
        <w:t>一、分包标的</w:t>
      </w:r>
    </w:p>
    <w:p w14:paraId="748C6387">
      <w:pPr>
        <w:widowControl/>
        <w:spacing w:line="293" w:lineRule="atLeast"/>
        <w:ind w:firstLine="480"/>
        <w:jc w:val="left"/>
        <w:rPr>
          <w:rFonts w:ascii="宋体" w:hAnsi="宋体" w:eastAsia="宋体" w:cs="宋体"/>
          <w:kern w:val="0"/>
          <w:sz w:val="24"/>
          <w:szCs w:val="24"/>
        </w:rPr>
      </w:pPr>
      <w:r>
        <w:rPr>
          <w:rFonts w:hint="eastAsia" w:ascii="宋体" w:hAnsi="宋体" w:eastAsia="宋体" w:cs="宋体"/>
          <w:kern w:val="0"/>
          <w:szCs w:val="21"/>
          <w:u w:val="single"/>
        </w:rPr>
        <w:t>（根据双方的意向填写，可以是表格或文字描述）</w:t>
      </w:r>
      <w:r>
        <w:rPr>
          <w:rFonts w:hint="eastAsia" w:ascii="宋体" w:hAnsi="宋体" w:eastAsia="宋体" w:cs="宋体"/>
          <w:kern w:val="0"/>
          <w:szCs w:val="21"/>
        </w:rPr>
        <w:t>。</w:t>
      </w:r>
    </w:p>
    <w:p w14:paraId="7A5B6924">
      <w:pPr>
        <w:widowControl/>
        <w:spacing w:line="293" w:lineRule="atLeast"/>
        <w:ind w:firstLine="480"/>
        <w:jc w:val="left"/>
        <w:rPr>
          <w:rFonts w:ascii="宋体" w:hAnsi="宋体" w:eastAsia="宋体" w:cs="宋体"/>
          <w:kern w:val="0"/>
          <w:sz w:val="24"/>
          <w:szCs w:val="24"/>
        </w:rPr>
      </w:pPr>
      <w:r>
        <w:rPr>
          <w:rFonts w:hint="eastAsia" w:ascii="宋体" w:hAnsi="宋体" w:eastAsia="宋体" w:cs="宋体"/>
          <w:b/>
          <w:bCs/>
          <w:kern w:val="0"/>
          <w:szCs w:val="21"/>
        </w:rPr>
        <w:t>二、分包合同金额占比</w:t>
      </w:r>
    </w:p>
    <w:p w14:paraId="7E45DBD6">
      <w:pPr>
        <w:widowControl/>
        <w:spacing w:line="293" w:lineRule="atLeast"/>
        <w:ind w:firstLine="480"/>
        <w:jc w:val="left"/>
        <w:rPr>
          <w:rFonts w:ascii="宋体" w:hAnsi="宋体" w:eastAsia="宋体" w:cs="宋体"/>
          <w:kern w:val="0"/>
          <w:sz w:val="24"/>
          <w:szCs w:val="24"/>
        </w:rPr>
      </w:pPr>
      <w:r>
        <w:rPr>
          <w:rFonts w:hint="eastAsia" w:ascii="宋体" w:hAnsi="宋体" w:eastAsia="宋体" w:cs="宋体"/>
          <w:kern w:val="0"/>
          <w:szCs w:val="21"/>
        </w:rPr>
        <w:t>分包合同价占投标总价的比例：　　%</w:t>
      </w:r>
    </w:p>
    <w:p w14:paraId="017047CE">
      <w:pPr>
        <w:widowControl/>
        <w:spacing w:line="293" w:lineRule="atLeast"/>
        <w:ind w:firstLine="480"/>
        <w:jc w:val="left"/>
        <w:rPr>
          <w:rFonts w:ascii="宋体" w:hAnsi="宋体" w:eastAsia="宋体" w:cs="宋体"/>
          <w:kern w:val="0"/>
          <w:sz w:val="24"/>
          <w:szCs w:val="24"/>
        </w:rPr>
      </w:pPr>
      <w:r>
        <w:rPr>
          <w:rFonts w:hint="eastAsia" w:ascii="宋体" w:hAnsi="宋体" w:eastAsia="宋体" w:cs="宋体"/>
          <w:b/>
          <w:bCs/>
          <w:kern w:val="0"/>
          <w:szCs w:val="21"/>
        </w:rPr>
        <w:t>三、其他条款</w:t>
      </w:r>
    </w:p>
    <w:p w14:paraId="3C91631B">
      <w:pPr>
        <w:widowControl/>
        <w:spacing w:line="293" w:lineRule="atLeast"/>
        <w:ind w:firstLine="480"/>
        <w:jc w:val="left"/>
        <w:rPr>
          <w:rFonts w:ascii="宋体" w:hAnsi="宋体" w:eastAsia="宋体" w:cs="宋体"/>
          <w:kern w:val="0"/>
          <w:sz w:val="24"/>
          <w:szCs w:val="24"/>
        </w:rPr>
      </w:pPr>
      <w:r>
        <w:rPr>
          <w:rFonts w:hint="eastAsia" w:ascii="宋体" w:hAnsi="宋体" w:eastAsia="宋体" w:cs="宋体"/>
          <w:kern w:val="0"/>
          <w:szCs w:val="21"/>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p w14:paraId="5156830C">
      <w:pPr>
        <w:widowControl/>
        <w:spacing w:line="293" w:lineRule="atLeast"/>
        <w:ind w:firstLine="480"/>
        <w:jc w:val="left"/>
        <w:rPr>
          <w:rFonts w:ascii="宋体" w:hAnsi="宋体" w:eastAsia="宋体" w:cs="宋体"/>
          <w:kern w:val="0"/>
          <w:sz w:val="24"/>
          <w:szCs w:val="24"/>
        </w:rPr>
      </w:pPr>
      <w:r>
        <w:rPr>
          <w:rFonts w:hint="eastAsia" w:ascii="宋体" w:hAnsi="宋体" w:eastAsia="宋体" w:cs="宋体"/>
          <w:kern w:val="0"/>
          <w:szCs w:val="21"/>
        </w:rPr>
        <w:t> </w:t>
      </w:r>
    </w:p>
    <w:tbl>
      <w:tblPr>
        <w:tblStyle w:val="9"/>
        <w:tblW w:w="0" w:type="auto"/>
        <w:tblInd w:w="0" w:type="dxa"/>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4245"/>
        <w:gridCol w:w="4065"/>
      </w:tblGrid>
      <w:tr w14:paraId="77691F0E">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424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C2F6F74">
            <w:pPr>
              <w:widowControl/>
              <w:spacing w:before="75" w:after="75"/>
              <w:rPr>
                <w:rFonts w:ascii="宋体" w:hAnsi="宋体" w:eastAsia="宋体" w:cs="宋体"/>
                <w:kern w:val="0"/>
                <w:sz w:val="24"/>
                <w:szCs w:val="24"/>
              </w:rPr>
            </w:pPr>
            <w:r>
              <w:rPr>
                <w:rFonts w:hint="eastAsia" w:ascii="宋体" w:hAnsi="宋体" w:eastAsia="宋体" w:cs="宋体"/>
                <w:kern w:val="0"/>
                <w:szCs w:val="21"/>
              </w:rPr>
              <w:t>甲方：</w:t>
            </w:r>
          </w:p>
        </w:tc>
        <w:tc>
          <w:tcPr>
            <w:tcW w:w="406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F105ABD">
            <w:pPr>
              <w:widowControl/>
              <w:spacing w:before="75" w:after="75"/>
              <w:rPr>
                <w:rFonts w:ascii="宋体" w:hAnsi="宋体" w:eastAsia="宋体" w:cs="宋体"/>
                <w:kern w:val="0"/>
                <w:sz w:val="24"/>
                <w:szCs w:val="24"/>
              </w:rPr>
            </w:pPr>
            <w:r>
              <w:rPr>
                <w:rFonts w:hint="eastAsia" w:ascii="宋体" w:hAnsi="宋体" w:eastAsia="宋体" w:cs="宋体"/>
                <w:kern w:val="0"/>
                <w:szCs w:val="21"/>
              </w:rPr>
              <w:t>乙方：</w:t>
            </w:r>
          </w:p>
        </w:tc>
      </w:tr>
      <w:tr w14:paraId="2E2F762D">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424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7345DDB">
            <w:pPr>
              <w:widowControl/>
              <w:spacing w:before="75" w:after="75"/>
              <w:rPr>
                <w:rFonts w:ascii="宋体" w:hAnsi="宋体" w:eastAsia="宋体" w:cs="宋体"/>
                <w:kern w:val="0"/>
                <w:sz w:val="24"/>
                <w:szCs w:val="24"/>
              </w:rPr>
            </w:pPr>
            <w:r>
              <w:rPr>
                <w:rFonts w:hint="eastAsia" w:ascii="宋体" w:hAnsi="宋体" w:eastAsia="宋体" w:cs="宋体"/>
                <w:kern w:val="0"/>
                <w:szCs w:val="21"/>
              </w:rPr>
              <w:t>住所：</w:t>
            </w:r>
          </w:p>
        </w:tc>
        <w:tc>
          <w:tcPr>
            <w:tcW w:w="406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055BE0F">
            <w:pPr>
              <w:widowControl/>
              <w:spacing w:before="75" w:after="75"/>
              <w:rPr>
                <w:rFonts w:ascii="宋体" w:hAnsi="宋体" w:eastAsia="宋体" w:cs="宋体"/>
                <w:kern w:val="0"/>
                <w:sz w:val="24"/>
                <w:szCs w:val="24"/>
              </w:rPr>
            </w:pPr>
            <w:r>
              <w:rPr>
                <w:rFonts w:hint="eastAsia" w:ascii="宋体" w:hAnsi="宋体" w:eastAsia="宋体" w:cs="宋体"/>
                <w:kern w:val="0"/>
                <w:szCs w:val="21"/>
              </w:rPr>
              <w:t>住所：</w:t>
            </w:r>
          </w:p>
        </w:tc>
      </w:tr>
      <w:tr w14:paraId="41AF753E">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424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FD2DF53">
            <w:pPr>
              <w:widowControl/>
              <w:spacing w:before="75" w:after="75"/>
              <w:rPr>
                <w:rFonts w:ascii="宋体" w:hAnsi="宋体" w:eastAsia="宋体" w:cs="宋体"/>
                <w:kern w:val="0"/>
                <w:sz w:val="24"/>
                <w:szCs w:val="24"/>
              </w:rPr>
            </w:pPr>
            <w:r>
              <w:rPr>
                <w:rFonts w:hint="eastAsia" w:ascii="宋体" w:hAnsi="宋体" w:eastAsia="宋体" w:cs="宋体"/>
                <w:kern w:val="0"/>
                <w:szCs w:val="21"/>
              </w:rPr>
              <w:t>单</w:t>
            </w:r>
            <w:r>
              <w:rPr>
                <w:rFonts w:hint="eastAsia" w:ascii="宋体" w:hAnsi="宋体" w:eastAsia="宋体" w:cs="宋体"/>
                <w:spacing w:val="-15"/>
                <w:kern w:val="0"/>
                <w:szCs w:val="21"/>
              </w:rPr>
              <w:t>位负责人或委托代理人：</w:t>
            </w:r>
          </w:p>
        </w:tc>
        <w:tc>
          <w:tcPr>
            <w:tcW w:w="406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F602668">
            <w:pPr>
              <w:widowControl/>
              <w:spacing w:before="75" w:after="75"/>
              <w:rPr>
                <w:rFonts w:ascii="宋体" w:hAnsi="宋体" w:eastAsia="宋体" w:cs="宋体"/>
                <w:kern w:val="0"/>
                <w:sz w:val="24"/>
                <w:szCs w:val="24"/>
              </w:rPr>
            </w:pPr>
            <w:r>
              <w:rPr>
                <w:rFonts w:hint="eastAsia" w:ascii="宋体" w:hAnsi="宋体" w:eastAsia="宋体" w:cs="宋体"/>
                <w:kern w:val="0"/>
                <w:szCs w:val="21"/>
              </w:rPr>
              <w:t>单</w:t>
            </w:r>
            <w:r>
              <w:rPr>
                <w:rFonts w:hint="eastAsia" w:ascii="宋体" w:hAnsi="宋体" w:eastAsia="宋体" w:cs="宋体"/>
                <w:spacing w:val="-15"/>
                <w:kern w:val="0"/>
                <w:szCs w:val="21"/>
              </w:rPr>
              <w:t>位负责人或委托代理人：</w:t>
            </w:r>
          </w:p>
        </w:tc>
      </w:tr>
      <w:tr w14:paraId="0BAC3722">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424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BD91136">
            <w:pPr>
              <w:widowControl/>
              <w:spacing w:before="75" w:after="75"/>
              <w:rPr>
                <w:rFonts w:ascii="宋体" w:hAnsi="宋体" w:eastAsia="宋体" w:cs="宋体"/>
                <w:kern w:val="0"/>
                <w:sz w:val="24"/>
                <w:szCs w:val="24"/>
              </w:rPr>
            </w:pPr>
            <w:r>
              <w:rPr>
                <w:rFonts w:hint="eastAsia" w:ascii="宋体" w:hAnsi="宋体" w:eastAsia="宋体" w:cs="宋体"/>
                <w:kern w:val="0"/>
                <w:szCs w:val="21"/>
              </w:rPr>
              <w:t>联系方法：</w:t>
            </w:r>
          </w:p>
        </w:tc>
        <w:tc>
          <w:tcPr>
            <w:tcW w:w="406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65DA8C4">
            <w:pPr>
              <w:widowControl/>
              <w:spacing w:before="75" w:after="75"/>
              <w:rPr>
                <w:rFonts w:ascii="宋体" w:hAnsi="宋体" w:eastAsia="宋体" w:cs="宋体"/>
                <w:kern w:val="0"/>
                <w:sz w:val="24"/>
                <w:szCs w:val="24"/>
              </w:rPr>
            </w:pPr>
            <w:r>
              <w:rPr>
                <w:rFonts w:hint="eastAsia" w:ascii="宋体" w:hAnsi="宋体" w:eastAsia="宋体" w:cs="宋体"/>
                <w:kern w:val="0"/>
                <w:szCs w:val="21"/>
              </w:rPr>
              <w:t>联系方法：</w:t>
            </w:r>
          </w:p>
        </w:tc>
      </w:tr>
      <w:tr w14:paraId="31294F95">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424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2A7345A">
            <w:pPr>
              <w:widowControl/>
              <w:spacing w:before="75" w:after="75"/>
              <w:rPr>
                <w:rFonts w:ascii="宋体" w:hAnsi="宋体" w:eastAsia="宋体" w:cs="宋体"/>
                <w:kern w:val="0"/>
                <w:sz w:val="24"/>
                <w:szCs w:val="24"/>
              </w:rPr>
            </w:pPr>
            <w:r>
              <w:rPr>
                <w:rFonts w:hint="eastAsia" w:ascii="宋体" w:hAnsi="宋体" w:eastAsia="宋体" w:cs="宋体"/>
                <w:kern w:val="0"/>
                <w:szCs w:val="21"/>
              </w:rPr>
              <w:t>开户银行：</w:t>
            </w:r>
          </w:p>
        </w:tc>
        <w:tc>
          <w:tcPr>
            <w:tcW w:w="406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AFDE78A">
            <w:pPr>
              <w:widowControl/>
              <w:spacing w:before="75" w:after="75"/>
              <w:rPr>
                <w:rFonts w:ascii="宋体" w:hAnsi="宋体" w:eastAsia="宋体" w:cs="宋体"/>
                <w:kern w:val="0"/>
                <w:sz w:val="24"/>
                <w:szCs w:val="24"/>
              </w:rPr>
            </w:pPr>
            <w:r>
              <w:rPr>
                <w:rFonts w:hint="eastAsia" w:ascii="宋体" w:hAnsi="宋体" w:eastAsia="宋体" w:cs="宋体"/>
                <w:kern w:val="0"/>
                <w:szCs w:val="21"/>
              </w:rPr>
              <w:t>开户银行：</w:t>
            </w:r>
          </w:p>
        </w:tc>
      </w:tr>
      <w:tr w14:paraId="12EDC193">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424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43461C8">
            <w:pPr>
              <w:widowControl/>
              <w:spacing w:before="75" w:after="75"/>
              <w:rPr>
                <w:rFonts w:ascii="宋体" w:hAnsi="宋体" w:eastAsia="宋体" w:cs="宋体"/>
                <w:kern w:val="0"/>
                <w:sz w:val="24"/>
                <w:szCs w:val="24"/>
              </w:rPr>
            </w:pPr>
            <w:r>
              <w:rPr>
                <w:rFonts w:hint="eastAsia" w:ascii="宋体" w:hAnsi="宋体" w:eastAsia="宋体" w:cs="宋体"/>
                <w:kern w:val="0"/>
                <w:szCs w:val="21"/>
              </w:rPr>
              <w:t>账号：</w:t>
            </w:r>
          </w:p>
        </w:tc>
        <w:tc>
          <w:tcPr>
            <w:tcW w:w="406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80FDC13">
            <w:pPr>
              <w:widowControl/>
              <w:spacing w:before="75" w:after="75"/>
              <w:rPr>
                <w:rFonts w:ascii="宋体" w:hAnsi="宋体" w:eastAsia="宋体" w:cs="宋体"/>
                <w:kern w:val="0"/>
                <w:sz w:val="24"/>
                <w:szCs w:val="24"/>
              </w:rPr>
            </w:pPr>
            <w:r>
              <w:rPr>
                <w:rFonts w:hint="eastAsia" w:ascii="宋体" w:hAnsi="宋体" w:eastAsia="宋体" w:cs="宋体"/>
                <w:kern w:val="0"/>
                <w:szCs w:val="21"/>
              </w:rPr>
              <w:t>账号：</w:t>
            </w:r>
          </w:p>
        </w:tc>
      </w:tr>
      <w:tr w14:paraId="286DF0AB">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8310" w:type="dxa"/>
            <w:gridSpan w:val="2"/>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3F773E2D">
            <w:pPr>
              <w:widowControl/>
              <w:spacing w:before="150"/>
              <w:ind w:left="3045"/>
              <w:jc w:val="left"/>
              <w:rPr>
                <w:rFonts w:ascii="宋体" w:hAnsi="宋体" w:eastAsia="宋体" w:cs="宋体"/>
                <w:kern w:val="0"/>
                <w:sz w:val="24"/>
                <w:szCs w:val="24"/>
              </w:rPr>
            </w:pPr>
            <w:r>
              <w:rPr>
                <w:rFonts w:hint="eastAsia" w:ascii="宋体" w:hAnsi="宋体" w:eastAsia="宋体" w:cs="宋体"/>
                <w:kern w:val="0"/>
                <w:szCs w:val="21"/>
              </w:rPr>
              <w:t>签订地点：</w:t>
            </w:r>
            <w:r>
              <w:rPr>
                <w:rFonts w:ascii="Calibri" w:hAnsi="Calibri" w:eastAsia="宋体" w:cs="Calibri"/>
                <w:kern w:val="0"/>
                <w:szCs w:val="21"/>
                <w:u w:val="single"/>
              </w:rPr>
              <w:t>                </w:t>
            </w:r>
          </w:p>
          <w:p w14:paraId="55B25CB8">
            <w:pPr>
              <w:widowControl/>
              <w:spacing w:line="293" w:lineRule="atLeast"/>
              <w:ind w:left="3045"/>
              <w:jc w:val="left"/>
              <w:rPr>
                <w:rFonts w:ascii="宋体" w:hAnsi="宋体" w:eastAsia="宋体" w:cs="宋体"/>
                <w:kern w:val="0"/>
                <w:sz w:val="24"/>
                <w:szCs w:val="24"/>
              </w:rPr>
            </w:pPr>
            <w:r>
              <w:rPr>
                <w:rFonts w:hint="eastAsia" w:ascii="宋体" w:hAnsi="宋体" w:eastAsia="宋体" w:cs="宋体"/>
                <w:kern w:val="0"/>
                <w:szCs w:val="21"/>
              </w:rPr>
              <w:t>签订日期：</w:t>
            </w:r>
            <w:r>
              <w:rPr>
                <w:rFonts w:ascii="Calibri" w:hAnsi="Calibri" w:eastAsia="宋体" w:cs="Calibri"/>
                <w:kern w:val="0"/>
                <w:szCs w:val="21"/>
              </w:rPr>
              <w:t>    </w:t>
            </w:r>
            <w:r>
              <w:rPr>
                <w:rFonts w:hint="eastAsia" w:ascii="宋体" w:hAnsi="宋体" w:eastAsia="宋体" w:cs="宋体"/>
                <w:kern w:val="0"/>
                <w:szCs w:val="21"/>
              </w:rPr>
              <w:t>年</w:t>
            </w:r>
            <w:r>
              <w:rPr>
                <w:rFonts w:ascii="Calibri" w:hAnsi="Calibri" w:eastAsia="宋体" w:cs="Calibri"/>
                <w:kern w:val="0"/>
                <w:szCs w:val="21"/>
              </w:rPr>
              <w:t>   </w:t>
            </w:r>
            <w:r>
              <w:rPr>
                <w:rFonts w:hint="eastAsia" w:ascii="宋体" w:hAnsi="宋体" w:eastAsia="宋体" w:cs="宋体"/>
                <w:kern w:val="0"/>
                <w:szCs w:val="21"/>
              </w:rPr>
              <w:t>月</w:t>
            </w:r>
            <w:r>
              <w:rPr>
                <w:rFonts w:ascii="Calibri" w:hAnsi="Calibri" w:eastAsia="宋体" w:cs="Calibri"/>
                <w:kern w:val="0"/>
                <w:szCs w:val="21"/>
              </w:rPr>
              <w:t>   </w:t>
            </w:r>
            <w:r>
              <w:rPr>
                <w:rFonts w:hint="eastAsia" w:ascii="宋体" w:hAnsi="宋体" w:eastAsia="宋体" w:cs="宋体"/>
                <w:kern w:val="0"/>
                <w:szCs w:val="21"/>
              </w:rPr>
              <w:t>日</w:t>
            </w:r>
          </w:p>
        </w:tc>
      </w:tr>
    </w:tbl>
    <w:p w14:paraId="27C55C27">
      <w:pPr>
        <w:widowControl/>
        <w:spacing w:before="75" w:after="75"/>
        <w:jc w:val="left"/>
        <w:rPr>
          <w:rFonts w:ascii="宋体" w:hAnsi="宋体" w:eastAsia="宋体" w:cs="宋体"/>
          <w:kern w:val="0"/>
          <w:sz w:val="24"/>
          <w:szCs w:val="24"/>
        </w:rPr>
      </w:pPr>
      <w:r>
        <w:rPr>
          <w:rFonts w:hint="eastAsia" w:ascii="宋体" w:hAnsi="宋体" w:eastAsia="宋体" w:cs="宋体"/>
          <w:b/>
          <w:bCs/>
          <w:kern w:val="0"/>
          <w:szCs w:val="21"/>
        </w:rPr>
        <w:t>※注意：</w:t>
      </w:r>
    </w:p>
    <w:p w14:paraId="7187A5D3">
      <w:pPr>
        <w:widowControl/>
        <w:spacing w:after="150" w:line="293" w:lineRule="atLeast"/>
        <w:ind w:firstLine="435"/>
        <w:jc w:val="left"/>
        <w:rPr>
          <w:rFonts w:ascii="宋体" w:hAnsi="宋体" w:eastAsia="宋体" w:cs="宋体"/>
          <w:kern w:val="0"/>
          <w:sz w:val="24"/>
          <w:szCs w:val="24"/>
        </w:rPr>
      </w:pPr>
      <w:r>
        <w:rPr>
          <w:rFonts w:hint="eastAsia" w:ascii="宋体" w:hAnsi="宋体" w:eastAsia="宋体" w:cs="宋体"/>
          <w:b/>
          <w:bCs/>
          <w:kern w:val="0"/>
          <w:szCs w:val="21"/>
        </w:rPr>
        <w:t>1.招标文件接受合同分包且投标人拟将合同分包的，应提供本协议；否则无须提供。</w:t>
      </w:r>
    </w:p>
    <w:p w14:paraId="20BBF37F">
      <w:pPr>
        <w:widowControl/>
        <w:spacing w:after="150" w:line="293" w:lineRule="atLeast"/>
        <w:ind w:firstLine="435"/>
        <w:jc w:val="left"/>
        <w:rPr>
          <w:rFonts w:ascii="宋体" w:hAnsi="宋体" w:eastAsia="宋体" w:cs="宋体"/>
          <w:kern w:val="0"/>
          <w:sz w:val="24"/>
          <w:szCs w:val="24"/>
        </w:rPr>
      </w:pPr>
      <w:r>
        <w:rPr>
          <w:rFonts w:hint="eastAsia" w:ascii="宋体" w:hAnsi="宋体" w:eastAsia="宋体" w:cs="宋体"/>
          <w:b/>
          <w:bCs/>
          <w:kern w:val="0"/>
          <w:szCs w:val="21"/>
        </w:rPr>
        <w:t>2.本协议由委托代理人签字或盖章的，应按照本章载明的格式提供“单位授权书”。</w:t>
      </w:r>
    </w:p>
    <w:p w14:paraId="4A6BDF87">
      <w:pPr>
        <w:widowControl/>
        <w:spacing w:after="150" w:line="293" w:lineRule="atLeast"/>
        <w:ind w:firstLine="435"/>
        <w:jc w:val="left"/>
        <w:rPr>
          <w:rFonts w:ascii="宋体" w:hAnsi="宋体" w:eastAsia="宋体" w:cs="宋体"/>
          <w:kern w:val="0"/>
          <w:sz w:val="24"/>
          <w:szCs w:val="24"/>
        </w:rPr>
      </w:pPr>
      <w:r>
        <w:rPr>
          <w:rFonts w:hint="eastAsia" w:ascii="宋体" w:hAnsi="宋体" w:eastAsia="宋体" w:cs="宋体"/>
          <w:b/>
          <w:bCs/>
          <w:kern w:val="0"/>
          <w:szCs w:val="21"/>
        </w:rPr>
        <w:t>3.在以合同分包形式落实中小企业预留份额项目中，投标人除了要提供《中小企业声明函》，还需提供本协议。 </w:t>
      </w:r>
    </w:p>
    <w:p w14:paraId="4E050250">
      <w:pPr>
        <w:widowControl/>
        <w:spacing w:after="150"/>
        <w:jc w:val="left"/>
        <w:rPr>
          <w:rFonts w:ascii="宋体" w:hAnsi="宋体" w:eastAsia="宋体" w:cs="宋体"/>
          <w:kern w:val="0"/>
          <w:sz w:val="24"/>
          <w:szCs w:val="24"/>
        </w:rPr>
      </w:pPr>
      <w:r>
        <w:rPr>
          <w:rFonts w:hint="eastAsia" w:ascii="宋体" w:hAnsi="宋体" w:eastAsia="宋体" w:cs="宋体"/>
          <w:kern w:val="0"/>
          <w:szCs w:val="21"/>
        </w:rPr>
        <w:br w:type="textWrapping"/>
      </w:r>
    </w:p>
    <w:p w14:paraId="6030B4D2">
      <w:pPr>
        <w:widowControl/>
        <w:spacing w:after="150"/>
        <w:jc w:val="left"/>
        <w:rPr>
          <w:rFonts w:ascii="宋体" w:hAnsi="宋体" w:eastAsia="宋体" w:cs="宋体"/>
          <w:kern w:val="0"/>
          <w:sz w:val="24"/>
          <w:szCs w:val="24"/>
        </w:rPr>
      </w:pPr>
      <w:r>
        <w:rPr>
          <w:rFonts w:ascii="Calibri" w:hAnsi="Calibri" w:eastAsia="宋体" w:cs="Calibri"/>
          <w:kern w:val="0"/>
          <w:szCs w:val="21"/>
        </w:rPr>
        <w:br w:type="textWrapping"/>
      </w:r>
      <w:r>
        <w:rPr>
          <w:rFonts w:ascii="Calibri" w:hAnsi="Calibri" w:eastAsia="宋体" w:cs="Calibri"/>
          <w:kern w:val="0"/>
          <w:szCs w:val="21"/>
        </w:rPr>
        <w:br w:type="textWrapping"/>
      </w:r>
    </w:p>
    <w:p w14:paraId="08B133E2">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14:paraId="125207D2">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14:paraId="317C91A8">
      <w:pPr>
        <w:widowControl/>
        <w:spacing w:after="150"/>
        <w:jc w:val="center"/>
        <w:rPr>
          <w:rFonts w:ascii="宋体" w:hAnsi="宋体" w:eastAsia="宋体" w:cs="宋体"/>
          <w:kern w:val="0"/>
          <w:sz w:val="24"/>
          <w:szCs w:val="24"/>
        </w:rPr>
      </w:pPr>
      <w:r>
        <w:rPr>
          <w:rFonts w:hint="eastAsia" w:ascii="宋体" w:hAnsi="宋体" w:eastAsia="宋体" w:cs="宋体"/>
          <w:kern w:val="0"/>
          <w:szCs w:val="21"/>
        </w:rPr>
        <w:br w:type="textWrapping"/>
      </w:r>
      <w:r>
        <w:rPr>
          <w:rFonts w:hint="eastAsia" w:ascii="宋体" w:hAnsi="宋体" w:eastAsia="宋体" w:cs="宋体"/>
          <w:b/>
          <w:bCs/>
          <w:kern w:val="0"/>
          <w:szCs w:val="21"/>
        </w:rPr>
        <w:t>二-12其他资格证明文件（若有）</w:t>
      </w:r>
    </w:p>
    <w:p w14:paraId="75F3A4F9">
      <w:pPr>
        <w:widowControl/>
        <w:spacing w:after="150"/>
        <w:jc w:val="center"/>
        <w:rPr>
          <w:rFonts w:ascii="宋体" w:hAnsi="宋体" w:eastAsia="宋体" w:cs="宋体"/>
          <w:kern w:val="0"/>
          <w:sz w:val="24"/>
          <w:szCs w:val="24"/>
        </w:rPr>
      </w:pPr>
      <w:r>
        <w:rPr>
          <w:rFonts w:hint="eastAsia" w:ascii="宋体" w:hAnsi="宋体" w:eastAsia="宋体" w:cs="宋体"/>
          <w:kern w:val="0"/>
          <w:szCs w:val="21"/>
        </w:rPr>
        <w:t> </w:t>
      </w:r>
    </w:p>
    <w:p w14:paraId="4BF2A836">
      <w:pPr>
        <w:widowControl/>
        <w:spacing w:after="150"/>
        <w:jc w:val="center"/>
        <w:rPr>
          <w:rFonts w:ascii="宋体" w:hAnsi="宋体" w:eastAsia="宋体" w:cs="宋体"/>
          <w:kern w:val="0"/>
          <w:sz w:val="24"/>
          <w:szCs w:val="24"/>
        </w:rPr>
      </w:pPr>
      <w:r>
        <w:rPr>
          <w:rFonts w:hint="eastAsia" w:ascii="宋体" w:hAnsi="宋体" w:eastAsia="宋体" w:cs="宋体"/>
          <w:kern w:val="0"/>
          <w:szCs w:val="21"/>
        </w:rPr>
        <w:t>二</w:t>
      </w:r>
      <w:r>
        <w:rPr>
          <w:rFonts w:hint="eastAsia" w:ascii="宋体" w:hAnsi="宋体" w:eastAsia="宋体" w:cs="宋体"/>
          <w:b/>
          <w:bCs/>
          <w:kern w:val="0"/>
          <w:szCs w:val="21"/>
        </w:rPr>
        <w:t>-12-①具备履行合同所必需设备和专业技术能力专项证明材料（若有）</w:t>
      </w:r>
    </w:p>
    <w:p w14:paraId="34505060">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14:paraId="6E052522">
      <w:pPr>
        <w:widowControl/>
        <w:spacing w:after="150"/>
        <w:jc w:val="left"/>
        <w:rPr>
          <w:rFonts w:ascii="宋体" w:hAnsi="宋体" w:eastAsia="宋体" w:cs="宋体"/>
          <w:kern w:val="0"/>
          <w:sz w:val="24"/>
          <w:szCs w:val="24"/>
        </w:rPr>
      </w:pPr>
      <w:r>
        <w:rPr>
          <w:rFonts w:hint="eastAsia" w:ascii="宋体" w:hAnsi="宋体" w:eastAsia="宋体" w:cs="宋体"/>
          <w:kern w:val="0"/>
          <w:szCs w:val="21"/>
        </w:rPr>
        <w:t>致：</w:t>
      </w:r>
      <w:r>
        <w:rPr>
          <w:rFonts w:hint="eastAsia" w:ascii="宋体" w:hAnsi="宋体" w:eastAsia="宋体" w:cs="宋体"/>
          <w:kern w:val="0"/>
          <w:szCs w:val="21"/>
          <w:u w:val="single"/>
        </w:rPr>
        <w:t>          （采购人或采购代理机构）  </w:t>
      </w:r>
    </w:p>
    <w:p w14:paraId="48C68566">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现附上我方具备履行合同所必需的设备和专业技术能力的专项证明材料复印件（具体附后），上述证明材料真实有效，否则我方负全部责任。</w:t>
      </w:r>
    </w:p>
    <w:p w14:paraId="0A697B13">
      <w:pPr>
        <w:widowControl/>
        <w:spacing w:after="150"/>
        <w:jc w:val="left"/>
        <w:rPr>
          <w:rFonts w:ascii="宋体" w:hAnsi="宋体" w:eastAsia="宋体" w:cs="宋体"/>
          <w:kern w:val="0"/>
          <w:sz w:val="24"/>
          <w:szCs w:val="24"/>
        </w:rPr>
      </w:pPr>
      <w:r>
        <w:rPr>
          <w:rFonts w:ascii="Calibri" w:hAnsi="Calibri" w:eastAsia="宋体" w:cs="Calibri"/>
          <w:kern w:val="0"/>
          <w:szCs w:val="21"/>
        </w:rPr>
        <w:t> </w:t>
      </w:r>
    </w:p>
    <w:p w14:paraId="390D535F">
      <w:pPr>
        <w:widowControl/>
        <w:spacing w:after="150"/>
        <w:jc w:val="left"/>
        <w:rPr>
          <w:rFonts w:ascii="宋体" w:hAnsi="宋体" w:eastAsia="宋体" w:cs="宋体"/>
          <w:kern w:val="0"/>
          <w:sz w:val="24"/>
          <w:szCs w:val="24"/>
        </w:rPr>
      </w:pPr>
      <w:r>
        <w:rPr>
          <w:rFonts w:hint="eastAsia" w:ascii="宋体" w:hAnsi="宋体" w:eastAsia="宋体" w:cs="宋体"/>
          <w:kern w:val="0"/>
          <w:szCs w:val="21"/>
        </w:rPr>
        <w:t>※注意：</w:t>
      </w:r>
    </w:p>
    <w:p w14:paraId="129DDA67">
      <w:pPr>
        <w:widowControl/>
        <w:spacing w:after="150"/>
        <w:jc w:val="left"/>
        <w:rPr>
          <w:rFonts w:ascii="宋体" w:hAnsi="宋体" w:eastAsia="宋体" w:cs="宋体"/>
          <w:kern w:val="0"/>
          <w:sz w:val="24"/>
          <w:szCs w:val="24"/>
        </w:rPr>
      </w:pPr>
      <w:r>
        <w:rPr>
          <w:rFonts w:hint="eastAsia" w:ascii="宋体" w:hAnsi="宋体" w:eastAsia="宋体" w:cs="宋体"/>
          <w:kern w:val="0"/>
          <w:szCs w:val="21"/>
        </w:rPr>
        <w:t>1、招标文件要求投标人提供“具备履行合同所必需的设备和专业技术能力专项证明材料”的，投标人应按照招标文件规定在此项下提供相应证明材料复印件。</w:t>
      </w:r>
    </w:p>
    <w:p w14:paraId="606A9C97">
      <w:pPr>
        <w:widowControl/>
        <w:spacing w:after="150"/>
        <w:jc w:val="left"/>
        <w:rPr>
          <w:rFonts w:ascii="宋体" w:hAnsi="宋体" w:eastAsia="宋体" w:cs="宋体"/>
          <w:kern w:val="0"/>
          <w:sz w:val="24"/>
          <w:szCs w:val="24"/>
        </w:rPr>
      </w:pPr>
      <w:r>
        <w:rPr>
          <w:rFonts w:hint="eastAsia" w:ascii="宋体" w:hAnsi="宋体" w:eastAsia="宋体" w:cs="宋体"/>
          <w:kern w:val="0"/>
          <w:szCs w:val="21"/>
        </w:rPr>
        <w:t>2、投标人提供的相应证明材料复印件均应符合：内容完整、清晰、整洁，并由投标人加盖其单位公章。</w:t>
      </w:r>
    </w:p>
    <w:p w14:paraId="6D2DF2EB">
      <w:pPr>
        <w:widowControl/>
        <w:spacing w:after="150"/>
        <w:jc w:val="left"/>
        <w:rPr>
          <w:rFonts w:ascii="宋体" w:hAnsi="宋体" w:eastAsia="宋体" w:cs="宋体"/>
          <w:kern w:val="0"/>
          <w:sz w:val="24"/>
          <w:szCs w:val="24"/>
        </w:rPr>
      </w:pPr>
      <w:r>
        <w:rPr>
          <w:rFonts w:ascii="Calibri" w:hAnsi="Calibri" w:eastAsia="宋体" w:cs="Calibri"/>
          <w:kern w:val="0"/>
          <w:szCs w:val="21"/>
        </w:rPr>
        <w:t> </w:t>
      </w:r>
    </w:p>
    <w:p w14:paraId="54B69997">
      <w:pPr>
        <w:widowControl/>
        <w:spacing w:after="150"/>
        <w:jc w:val="left"/>
        <w:rPr>
          <w:rFonts w:ascii="宋体" w:hAnsi="宋体" w:eastAsia="宋体" w:cs="宋体"/>
          <w:kern w:val="0"/>
          <w:sz w:val="24"/>
          <w:szCs w:val="24"/>
        </w:rPr>
      </w:pPr>
      <w:r>
        <w:rPr>
          <w:rFonts w:ascii="Calibri" w:hAnsi="Calibri" w:eastAsia="宋体" w:cs="Calibri"/>
          <w:kern w:val="0"/>
          <w:szCs w:val="21"/>
        </w:rPr>
        <w:t> </w:t>
      </w:r>
    </w:p>
    <w:p w14:paraId="4B9E40AA">
      <w:pPr>
        <w:widowControl/>
        <w:spacing w:after="150"/>
        <w:jc w:val="left"/>
        <w:rPr>
          <w:rFonts w:ascii="宋体" w:hAnsi="宋体" w:eastAsia="宋体" w:cs="宋体"/>
          <w:kern w:val="0"/>
          <w:sz w:val="24"/>
          <w:szCs w:val="24"/>
        </w:rPr>
      </w:pPr>
      <w:r>
        <w:rPr>
          <w:rFonts w:hint="eastAsia" w:ascii="宋体" w:hAnsi="宋体" w:eastAsia="宋体" w:cs="宋体"/>
          <w:kern w:val="0"/>
          <w:szCs w:val="21"/>
        </w:rPr>
        <w:t>投标人：</w:t>
      </w:r>
      <w:r>
        <w:rPr>
          <w:rFonts w:hint="eastAsia" w:ascii="宋体" w:hAnsi="宋体" w:eastAsia="宋体" w:cs="宋体"/>
          <w:kern w:val="0"/>
          <w:szCs w:val="21"/>
          <w:u w:val="single"/>
        </w:rPr>
        <w:t>（全称并加盖单位公章）</w:t>
      </w:r>
    </w:p>
    <w:p w14:paraId="2E756F8A">
      <w:pPr>
        <w:widowControl/>
        <w:spacing w:after="150"/>
        <w:jc w:val="left"/>
        <w:rPr>
          <w:rFonts w:ascii="宋体" w:hAnsi="宋体" w:eastAsia="宋体" w:cs="宋体"/>
          <w:kern w:val="0"/>
          <w:sz w:val="24"/>
          <w:szCs w:val="24"/>
        </w:rPr>
      </w:pPr>
      <w:r>
        <w:rPr>
          <w:rFonts w:hint="eastAsia" w:ascii="宋体" w:hAnsi="宋体" w:eastAsia="宋体" w:cs="宋体"/>
          <w:kern w:val="0"/>
          <w:szCs w:val="21"/>
        </w:rPr>
        <w:t>日期：</w:t>
      </w:r>
      <w:r>
        <w:rPr>
          <w:rFonts w:hint="eastAsia" w:ascii="宋体" w:hAnsi="宋体" w:eastAsia="宋体" w:cs="宋体"/>
          <w:kern w:val="0"/>
          <w:szCs w:val="21"/>
          <w:u w:val="single"/>
        </w:rPr>
        <w:t>    </w:t>
      </w:r>
      <w:r>
        <w:rPr>
          <w:rFonts w:hint="eastAsia" w:ascii="宋体" w:hAnsi="宋体" w:eastAsia="宋体" w:cs="宋体"/>
          <w:kern w:val="0"/>
          <w:szCs w:val="21"/>
        </w:rPr>
        <w:t>年</w:t>
      </w:r>
      <w:r>
        <w:rPr>
          <w:rFonts w:hint="eastAsia" w:ascii="宋体" w:hAnsi="宋体" w:eastAsia="宋体" w:cs="宋体"/>
          <w:kern w:val="0"/>
          <w:szCs w:val="21"/>
          <w:u w:val="single"/>
        </w:rPr>
        <w:t>   </w:t>
      </w:r>
      <w:r>
        <w:rPr>
          <w:rFonts w:hint="eastAsia" w:ascii="宋体" w:hAnsi="宋体" w:eastAsia="宋体" w:cs="宋体"/>
          <w:kern w:val="0"/>
          <w:szCs w:val="21"/>
        </w:rPr>
        <w:t>月</w:t>
      </w:r>
      <w:r>
        <w:rPr>
          <w:rFonts w:hint="eastAsia" w:ascii="宋体" w:hAnsi="宋体" w:eastAsia="宋体" w:cs="宋体"/>
          <w:kern w:val="0"/>
          <w:szCs w:val="21"/>
          <w:u w:val="single"/>
        </w:rPr>
        <w:t>   </w:t>
      </w:r>
      <w:r>
        <w:rPr>
          <w:rFonts w:hint="eastAsia" w:ascii="宋体" w:hAnsi="宋体" w:eastAsia="宋体" w:cs="宋体"/>
          <w:kern w:val="0"/>
          <w:szCs w:val="21"/>
        </w:rPr>
        <w:t>日</w:t>
      </w:r>
    </w:p>
    <w:p w14:paraId="45A36100">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14:paraId="177E4BD4">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r>
        <w:rPr>
          <w:rFonts w:hint="eastAsia" w:ascii="宋体" w:hAnsi="宋体" w:eastAsia="宋体" w:cs="宋体"/>
          <w:kern w:val="0"/>
          <w:szCs w:val="21"/>
        </w:rPr>
        <w:br w:type="textWrapping"/>
      </w:r>
      <w:r>
        <w:rPr>
          <w:rFonts w:hint="eastAsia" w:ascii="宋体" w:hAnsi="宋体" w:eastAsia="宋体" w:cs="宋体"/>
          <w:kern w:val="0"/>
          <w:szCs w:val="21"/>
        </w:rPr>
        <w:br w:type="textWrapping"/>
      </w:r>
    </w:p>
    <w:p w14:paraId="3DEA2BC8">
      <w:pPr>
        <w:widowControl/>
        <w:spacing w:after="150"/>
        <w:jc w:val="center"/>
        <w:rPr>
          <w:rFonts w:ascii="宋体" w:hAnsi="宋体" w:eastAsia="宋体" w:cs="宋体"/>
          <w:kern w:val="0"/>
          <w:sz w:val="24"/>
          <w:szCs w:val="24"/>
        </w:rPr>
      </w:pPr>
      <w:r>
        <w:rPr>
          <w:rFonts w:ascii="Calibri" w:hAnsi="Calibri" w:eastAsia="宋体" w:cs="Calibri"/>
          <w:kern w:val="0"/>
          <w:szCs w:val="21"/>
        </w:rPr>
        <w:br w:type="textWrapping"/>
      </w:r>
      <w:r>
        <w:rPr>
          <w:rFonts w:hint="eastAsia" w:ascii="宋体" w:hAnsi="宋体" w:eastAsia="宋体" w:cs="宋体"/>
          <w:b/>
          <w:bCs/>
          <w:kern w:val="0"/>
          <w:szCs w:val="21"/>
        </w:rPr>
        <w:t>二-12-②招标文件规定的其他资格证明文件（若有）</w:t>
      </w:r>
    </w:p>
    <w:p w14:paraId="61B33AB8">
      <w:pPr>
        <w:widowControl/>
        <w:spacing w:after="150"/>
        <w:jc w:val="left"/>
        <w:rPr>
          <w:rFonts w:ascii="宋体" w:hAnsi="宋体" w:eastAsia="宋体" w:cs="宋体"/>
          <w:kern w:val="0"/>
          <w:sz w:val="24"/>
          <w:szCs w:val="24"/>
        </w:rPr>
      </w:pPr>
      <w:r>
        <w:rPr>
          <w:rFonts w:hint="eastAsia" w:ascii="宋体" w:hAnsi="宋体" w:eastAsia="宋体" w:cs="宋体"/>
          <w:b/>
          <w:bCs/>
          <w:kern w:val="0"/>
          <w:szCs w:val="21"/>
        </w:rPr>
        <w:t> </w:t>
      </w:r>
    </w:p>
    <w:p w14:paraId="15FF5A6E">
      <w:pPr>
        <w:widowControl/>
        <w:spacing w:after="150"/>
        <w:jc w:val="left"/>
        <w:rPr>
          <w:rFonts w:ascii="宋体" w:hAnsi="宋体" w:eastAsia="宋体" w:cs="宋体"/>
          <w:kern w:val="0"/>
          <w:sz w:val="24"/>
          <w:szCs w:val="24"/>
        </w:rPr>
      </w:pPr>
      <w:r>
        <w:rPr>
          <w:rFonts w:hint="eastAsia" w:ascii="宋体" w:hAnsi="宋体" w:eastAsia="宋体" w:cs="宋体"/>
          <w:b/>
          <w:bCs/>
          <w:kern w:val="0"/>
          <w:szCs w:val="21"/>
        </w:rPr>
        <w:t> </w:t>
      </w:r>
    </w:p>
    <w:p w14:paraId="687DE00F">
      <w:pPr>
        <w:widowControl/>
        <w:spacing w:after="150"/>
        <w:jc w:val="center"/>
        <w:rPr>
          <w:rFonts w:ascii="宋体" w:hAnsi="宋体" w:eastAsia="宋体" w:cs="宋体"/>
          <w:kern w:val="0"/>
          <w:sz w:val="24"/>
          <w:szCs w:val="24"/>
        </w:rPr>
      </w:pPr>
      <w:r>
        <w:rPr>
          <w:rFonts w:hint="eastAsia" w:ascii="宋体" w:hAnsi="宋体" w:eastAsia="宋体" w:cs="宋体"/>
          <w:kern w:val="0"/>
          <w:szCs w:val="21"/>
        </w:rPr>
        <w:t>编制说明</w:t>
      </w:r>
    </w:p>
    <w:p w14:paraId="67AD1B36">
      <w:pPr>
        <w:widowControl/>
        <w:spacing w:after="150"/>
        <w:jc w:val="center"/>
        <w:rPr>
          <w:rFonts w:ascii="宋体" w:hAnsi="宋体" w:eastAsia="宋体" w:cs="宋体"/>
          <w:kern w:val="0"/>
          <w:sz w:val="24"/>
          <w:szCs w:val="24"/>
        </w:rPr>
      </w:pPr>
      <w:r>
        <w:rPr>
          <w:rFonts w:hint="eastAsia" w:ascii="宋体" w:hAnsi="宋体" w:eastAsia="宋体" w:cs="宋体"/>
          <w:kern w:val="0"/>
          <w:szCs w:val="21"/>
        </w:rPr>
        <w:t> </w:t>
      </w:r>
    </w:p>
    <w:p w14:paraId="3EF707CC">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除招标文件另有规定外，招标文件要求提交的除前述资格证明文件外的其他资格证明文件（若有）加盖投标人的单位公章后应在此项下提交。</w:t>
      </w:r>
    </w:p>
    <w:p w14:paraId="32CDDE72">
      <w:pPr>
        <w:widowControl/>
        <w:spacing w:after="150"/>
        <w:jc w:val="left"/>
        <w:rPr>
          <w:rFonts w:ascii="宋体" w:hAnsi="宋体" w:eastAsia="宋体" w:cs="宋体"/>
          <w:kern w:val="0"/>
          <w:sz w:val="24"/>
          <w:szCs w:val="24"/>
        </w:rPr>
      </w:pPr>
      <w:r>
        <w:rPr>
          <w:rFonts w:hint="eastAsia" w:ascii="宋体" w:hAnsi="宋体" w:eastAsia="宋体" w:cs="宋体"/>
          <w:b/>
          <w:bCs/>
          <w:kern w:val="0"/>
          <w:szCs w:val="21"/>
        </w:rPr>
        <w:t> </w:t>
      </w:r>
    </w:p>
    <w:p w14:paraId="3A8DFB40">
      <w:pPr>
        <w:widowControl/>
        <w:spacing w:after="150"/>
        <w:jc w:val="left"/>
        <w:rPr>
          <w:rFonts w:ascii="宋体" w:hAnsi="宋体" w:eastAsia="宋体" w:cs="宋体"/>
          <w:kern w:val="0"/>
          <w:sz w:val="24"/>
          <w:szCs w:val="24"/>
        </w:rPr>
      </w:pPr>
      <w:r>
        <w:rPr>
          <w:rFonts w:hint="eastAsia" w:ascii="宋体" w:hAnsi="宋体" w:eastAsia="宋体" w:cs="宋体"/>
          <w:b/>
          <w:bCs/>
          <w:kern w:val="0"/>
          <w:szCs w:val="21"/>
        </w:rPr>
        <w:t> </w:t>
      </w:r>
    </w:p>
    <w:p w14:paraId="15767CAB">
      <w:pPr>
        <w:widowControl/>
        <w:spacing w:after="150"/>
        <w:jc w:val="center"/>
        <w:rPr>
          <w:rFonts w:ascii="宋体" w:hAnsi="宋体" w:eastAsia="宋体" w:cs="宋体"/>
          <w:kern w:val="0"/>
          <w:sz w:val="24"/>
          <w:szCs w:val="24"/>
        </w:rPr>
      </w:pPr>
      <w:r>
        <w:rPr>
          <w:rFonts w:ascii="Calibri" w:hAnsi="Calibri" w:eastAsia="宋体" w:cs="Calibri"/>
          <w:kern w:val="0"/>
          <w:szCs w:val="21"/>
        </w:rPr>
        <w:br w:type="textWrapping"/>
      </w:r>
      <w:r>
        <w:rPr>
          <w:rFonts w:hint="eastAsia" w:ascii="宋体" w:hAnsi="宋体" w:eastAsia="宋体" w:cs="宋体"/>
          <w:kern w:val="0"/>
          <w:szCs w:val="21"/>
        </w:rPr>
        <w:t>三</w:t>
      </w:r>
      <w:r>
        <w:rPr>
          <w:rFonts w:hint="eastAsia" w:ascii="宋体" w:hAnsi="宋体" w:eastAsia="宋体" w:cs="宋体"/>
          <w:b/>
          <w:bCs/>
          <w:kern w:val="0"/>
          <w:szCs w:val="21"/>
        </w:rPr>
        <w:t>、投标保证金</w:t>
      </w:r>
    </w:p>
    <w:p w14:paraId="384B6544">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14:paraId="32189B0E">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14:paraId="285DB217">
      <w:pPr>
        <w:widowControl/>
        <w:spacing w:after="150"/>
        <w:jc w:val="center"/>
        <w:rPr>
          <w:rFonts w:ascii="宋体" w:hAnsi="宋体" w:eastAsia="宋体" w:cs="宋体"/>
          <w:kern w:val="0"/>
          <w:sz w:val="24"/>
          <w:szCs w:val="24"/>
        </w:rPr>
      </w:pPr>
      <w:r>
        <w:rPr>
          <w:rFonts w:hint="eastAsia" w:ascii="宋体" w:hAnsi="宋体" w:eastAsia="宋体" w:cs="宋体"/>
          <w:kern w:val="0"/>
          <w:szCs w:val="21"/>
        </w:rPr>
        <w:t>编制说明</w:t>
      </w:r>
    </w:p>
    <w:p w14:paraId="23D42147">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14:paraId="3C93EFAD">
      <w:pPr>
        <w:widowControl/>
        <w:spacing w:after="150"/>
        <w:jc w:val="left"/>
        <w:rPr>
          <w:rFonts w:ascii="宋体" w:hAnsi="宋体" w:eastAsia="宋体" w:cs="宋体"/>
          <w:kern w:val="0"/>
          <w:sz w:val="24"/>
          <w:szCs w:val="24"/>
        </w:rPr>
      </w:pPr>
      <w:r>
        <w:rPr>
          <w:rFonts w:hint="eastAsia" w:ascii="宋体" w:hAnsi="宋体" w:eastAsia="宋体" w:cs="宋体"/>
          <w:kern w:val="0"/>
          <w:szCs w:val="21"/>
        </w:rPr>
        <w:t>1、在此项下提交的</w:t>
      </w:r>
      <w:r>
        <w:rPr>
          <w:rFonts w:hint="eastAsia" w:ascii="宋体" w:hAnsi="宋体" w:eastAsia="宋体" w:cs="宋体"/>
          <w:b/>
          <w:bCs/>
          <w:kern w:val="0"/>
          <w:szCs w:val="21"/>
        </w:rPr>
        <w:t>“投标保证金”</w:t>
      </w:r>
      <w:r>
        <w:rPr>
          <w:rFonts w:hint="eastAsia" w:ascii="宋体" w:hAnsi="宋体" w:eastAsia="宋体" w:cs="宋体"/>
          <w:kern w:val="0"/>
          <w:szCs w:val="21"/>
        </w:rPr>
        <w:t>材料可使用转账凭证复印件或从福建省政府采购网上公开信息系统中下载的有关原始页面的打印件。</w:t>
      </w:r>
    </w:p>
    <w:p w14:paraId="055C03C2">
      <w:pPr>
        <w:widowControl/>
        <w:spacing w:after="150"/>
        <w:jc w:val="left"/>
        <w:rPr>
          <w:rFonts w:ascii="宋体" w:hAnsi="宋体" w:eastAsia="宋体" w:cs="宋体"/>
          <w:kern w:val="0"/>
          <w:sz w:val="24"/>
          <w:szCs w:val="24"/>
        </w:rPr>
      </w:pPr>
      <w:r>
        <w:rPr>
          <w:rFonts w:hint="eastAsia" w:ascii="宋体" w:hAnsi="宋体" w:eastAsia="宋体" w:cs="宋体"/>
          <w:kern w:val="0"/>
          <w:szCs w:val="21"/>
        </w:rPr>
        <w:t>2、投标保证金是否已提交的认定按照招标文件第三章规定执行。</w:t>
      </w:r>
    </w:p>
    <w:p w14:paraId="3DF44638">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14:paraId="7CA96EF8">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14:paraId="7B9AFC23">
      <w:pPr>
        <w:widowControl/>
        <w:spacing w:after="150"/>
        <w:jc w:val="left"/>
        <w:rPr>
          <w:rFonts w:ascii="宋体" w:hAnsi="宋体" w:eastAsia="宋体" w:cs="宋体"/>
          <w:kern w:val="0"/>
          <w:sz w:val="24"/>
          <w:szCs w:val="24"/>
        </w:rPr>
      </w:pPr>
      <w:r>
        <w:rPr>
          <w:rFonts w:ascii="Calibri" w:hAnsi="Calibri" w:eastAsia="宋体" w:cs="Calibri"/>
          <w:kern w:val="0"/>
          <w:szCs w:val="21"/>
        </w:rPr>
        <w:br w:type="textWrapping"/>
      </w:r>
    </w:p>
    <w:p w14:paraId="01D8F3DB">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14:paraId="6DFF63FE">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14:paraId="585139FC">
      <w:pPr>
        <w:widowControl/>
        <w:spacing w:after="150"/>
        <w:jc w:val="center"/>
        <w:rPr>
          <w:rFonts w:ascii="宋体" w:hAnsi="宋体" w:eastAsia="宋体" w:cs="宋体"/>
          <w:kern w:val="0"/>
          <w:sz w:val="24"/>
          <w:szCs w:val="24"/>
        </w:rPr>
      </w:pPr>
      <w:r>
        <w:rPr>
          <w:rFonts w:hint="eastAsia" w:ascii="宋体" w:hAnsi="宋体" w:eastAsia="宋体" w:cs="宋体"/>
          <w:b/>
          <w:bCs/>
          <w:kern w:val="0"/>
          <w:sz w:val="29"/>
          <w:szCs w:val="29"/>
        </w:rPr>
        <w:t>封面格式</w:t>
      </w:r>
    </w:p>
    <w:p w14:paraId="5E997491">
      <w:pPr>
        <w:widowControl/>
        <w:spacing w:after="150"/>
        <w:jc w:val="left"/>
        <w:rPr>
          <w:rFonts w:ascii="宋体" w:hAnsi="宋体" w:eastAsia="宋体" w:cs="宋体"/>
          <w:kern w:val="0"/>
          <w:sz w:val="24"/>
          <w:szCs w:val="24"/>
        </w:rPr>
      </w:pPr>
      <w:r>
        <w:rPr>
          <w:rFonts w:hint="eastAsia" w:ascii="宋体" w:hAnsi="宋体" w:eastAsia="宋体" w:cs="宋体"/>
          <w:kern w:val="0"/>
          <w:sz w:val="36"/>
          <w:szCs w:val="36"/>
        </w:rPr>
        <w:t> </w:t>
      </w:r>
    </w:p>
    <w:p w14:paraId="5A8B4626">
      <w:pPr>
        <w:widowControl/>
        <w:spacing w:after="150"/>
        <w:jc w:val="left"/>
        <w:rPr>
          <w:rFonts w:ascii="宋体" w:hAnsi="宋体" w:eastAsia="宋体" w:cs="宋体"/>
          <w:kern w:val="0"/>
          <w:sz w:val="24"/>
          <w:szCs w:val="24"/>
        </w:rPr>
      </w:pPr>
      <w:r>
        <w:rPr>
          <w:rFonts w:hint="eastAsia" w:ascii="宋体" w:hAnsi="宋体" w:eastAsia="宋体" w:cs="宋体"/>
          <w:kern w:val="0"/>
          <w:sz w:val="36"/>
          <w:szCs w:val="36"/>
        </w:rPr>
        <w:t> </w:t>
      </w:r>
    </w:p>
    <w:p w14:paraId="04C15FFA">
      <w:pPr>
        <w:widowControl/>
        <w:spacing w:after="150"/>
        <w:jc w:val="left"/>
        <w:rPr>
          <w:rFonts w:ascii="宋体" w:hAnsi="宋体" w:eastAsia="宋体" w:cs="宋体"/>
          <w:kern w:val="0"/>
          <w:sz w:val="24"/>
          <w:szCs w:val="24"/>
        </w:rPr>
      </w:pPr>
      <w:r>
        <w:rPr>
          <w:rFonts w:hint="eastAsia" w:ascii="宋体" w:hAnsi="宋体" w:eastAsia="宋体" w:cs="宋体"/>
          <w:kern w:val="0"/>
          <w:sz w:val="36"/>
          <w:szCs w:val="36"/>
        </w:rPr>
        <w:t> </w:t>
      </w:r>
    </w:p>
    <w:p w14:paraId="5141AFCA">
      <w:pPr>
        <w:widowControl/>
        <w:spacing w:after="150"/>
        <w:jc w:val="center"/>
        <w:rPr>
          <w:rFonts w:ascii="宋体" w:hAnsi="宋体" w:eastAsia="宋体" w:cs="宋体"/>
          <w:kern w:val="0"/>
          <w:sz w:val="24"/>
          <w:szCs w:val="24"/>
        </w:rPr>
      </w:pPr>
      <w:r>
        <w:rPr>
          <w:rFonts w:hint="eastAsia" w:ascii="宋体" w:hAnsi="宋体" w:eastAsia="宋体" w:cs="宋体"/>
          <w:b/>
          <w:bCs/>
          <w:kern w:val="0"/>
          <w:sz w:val="48"/>
          <w:szCs w:val="48"/>
        </w:rPr>
        <w:t>福建省政府采购投标文件</w:t>
      </w:r>
    </w:p>
    <w:p w14:paraId="06070700">
      <w:pPr>
        <w:widowControl/>
        <w:spacing w:after="150"/>
        <w:jc w:val="center"/>
        <w:rPr>
          <w:rFonts w:ascii="宋体" w:hAnsi="宋体" w:eastAsia="宋体" w:cs="宋体"/>
          <w:kern w:val="0"/>
          <w:sz w:val="24"/>
          <w:szCs w:val="24"/>
        </w:rPr>
      </w:pPr>
      <w:r>
        <w:rPr>
          <w:rFonts w:hint="eastAsia" w:ascii="宋体" w:hAnsi="宋体" w:eastAsia="宋体" w:cs="宋体"/>
          <w:b/>
          <w:bCs/>
          <w:kern w:val="0"/>
          <w:sz w:val="48"/>
          <w:szCs w:val="48"/>
        </w:rPr>
        <w:t>（报价部分）</w:t>
      </w:r>
    </w:p>
    <w:p w14:paraId="414800E1">
      <w:pPr>
        <w:widowControl/>
        <w:spacing w:after="150"/>
        <w:jc w:val="left"/>
        <w:rPr>
          <w:rFonts w:ascii="宋体" w:hAnsi="宋体" w:eastAsia="宋体" w:cs="宋体"/>
          <w:kern w:val="0"/>
          <w:sz w:val="24"/>
          <w:szCs w:val="24"/>
        </w:rPr>
      </w:pPr>
      <w:r>
        <w:rPr>
          <w:rFonts w:hint="eastAsia" w:ascii="宋体" w:hAnsi="宋体" w:eastAsia="宋体" w:cs="宋体"/>
          <w:kern w:val="0"/>
          <w:sz w:val="36"/>
          <w:szCs w:val="36"/>
        </w:rPr>
        <w:t> </w:t>
      </w:r>
    </w:p>
    <w:p w14:paraId="37B41276">
      <w:pPr>
        <w:widowControl/>
        <w:spacing w:after="150"/>
        <w:jc w:val="center"/>
        <w:rPr>
          <w:rFonts w:ascii="宋体" w:hAnsi="宋体" w:eastAsia="宋体" w:cs="宋体"/>
          <w:kern w:val="0"/>
          <w:sz w:val="24"/>
          <w:szCs w:val="24"/>
        </w:rPr>
      </w:pPr>
      <w:r>
        <w:rPr>
          <w:rFonts w:hint="eastAsia" w:ascii="宋体" w:hAnsi="宋体" w:eastAsia="宋体" w:cs="宋体"/>
          <w:b/>
          <w:bCs/>
          <w:kern w:val="0"/>
          <w:sz w:val="36"/>
          <w:szCs w:val="36"/>
          <w:u w:val="single"/>
        </w:rPr>
        <w:t>（填写正本或副本）</w:t>
      </w:r>
    </w:p>
    <w:p w14:paraId="322AABE0">
      <w:pPr>
        <w:widowControl/>
        <w:spacing w:after="150"/>
        <w:jc w:val="left"/>
        <w:rPr>
          <w:rFonts w:ascii="宋体" w:hAnsi="宋体" w:eastAsia="宋体" w:cs="宋体"/>
          <w:kern w:val="0"/>
          <w:sz w:val="24"/>
          <w:szCs w:val="24"/>
        </w:rPr>
      </w:pPr>
      <w:r>
        <w:rPr>
          <w:rFonts w:hint="eastAsia" w:ascii="宋体" w:hAnsi="宋体" w:eastAsia="宋体" w:cs="宋体"/>
          <w:kern w:val="0"/>
          <w:sz w:val="36"/>
          <w:szCs w:val="36"/>
        </w:rPr>
        <w:t> </w:t>
      </w:r>
    </w:p>
    <w:p w14:paraId="730C11DF">
      <w:pPr>
        <w:widowControl/>
        <w:spacing w:after="150"/>
        <w:ind w:firstLine="1920"/>
        <w:jc w:val="left"/>
        <w:rPr>
          <w:rFonts w:ascii="宋体" w:hAnsi="宋体" w:eastAsia="宋体" w:cs="宋体"/>
          <w:kern w:val="0"/>
          <w:sz w:val="24"/>
          <w:szCs w:val="24"/>
        </w:rPr>
      </w:pPr>
      <w:r>
        <w:rPr>
          <w:rFonts w:hint="eastAsia" w:ascii="宋体" w:hAnsi="宋体" w:eastAsia="宋体" w:cs="宋体"/>
          <w:b/>
          <w:bCs/>
          <w:kern w:val="0"/>
          <w:sz w:val="32"/>
          <w:szCs w:val="32"/>
        </w:rPr>
        <w:t>项目名称：</w:t>
      </w:r>
      <w:r>
        <w:rPr>
          <w:rFonts w:hint="eastAsia" w:ascii="宋体" w:hAnsi="宋体" w:eastAsia="宋体" w:cs="宋体"/>
          <w:b/>
          <w:bCs/>
          <w:kern w:val="0"/>
          <w:sz w:val="32"/>
          <w:szCs w:val="32"/>
          <w:u w:val="single"/>
        </w:rPr>
        <w:t>（由投标人填写）</w:t>
      </w:r>
    </w:p>
    <w:p w14:paraId="3902B0AF">
      <w:pPr>
        <w:widowControl/>
        <w:spacing w:after="150"/>
        <w:ind w:firstLine="1920"/>
        <w:jc w:val="left"/>
        <w:rPr>
          <w:rFonts w:ascii="宋体" w:hAnsi="宋体" w:eastAsia="宋体" w:cs="宋体"/>
          <w:kern w:val="0"/>
          <w:sz w:val="24"/>
          <w:szCs w:val="24"/>
        </w:rPr>
      </w:pPr>
      <w:r>
        <w:rPr>
          <w:rFonts w:hint="eastAsia" w:ascii="宋体" w:hAnsi="宋体" w:eastAsia="宋体" w:cs="宋体"/>
          <w:b/>
          <w:bCs/>
          <w:kern w:val="0"/>
          <w:sz w:val="32"/>
          <w:szCs w:val="32"/>
        </w:rPr>
        <w:t>备案编号：</w:t>
      </w:r>
      <w:r>
        <w:rPr>
          <w:rFonts w:hint="eastAsia" w:ascii="宋体" w:hAnsi="宋体" w:eastAsia="宋体" w:cs="宋体"/>
          <w:b/>
          <w:bCs/>
          <w:kern w:val="0"/>
          <w:sz w:val="32"/>
          <w:szCs w:val="32"/>
          <w:u w:val="single"/>
        </w:rPr>
        <w:t>（由投标人填写）</w:t>
      </w:r>
    </w:p>
    <w:p w14:paraId="0CA23604">
      <w:pPr>
        <w:widowControl/>
        <w:spacing w:after="150"/>
        <w:ind w:firstLine="1920"/>
        <w:jc w:val="left"/>
        <w:rPr>
          <w:rFonts w:ascii="宋体" w:hAnsi="宋体" w:eastAsia="宋体" w:cs="宋体"/>
          <w:kern w:val="0"/>
          <w:sz w:val="24"/>
          <w:szCs w:val="24"/>
        </w:rPr>
      </w:pPr>
      <w:r>
        <w:rPr>
          <w:rFonts w:hint="eastAsia" w:ascii="宋体" w:hAnsi="宋体" w:eastAsia="宋体" w:cs="宋体"/>
          <w:b/>
          <w:bCs/>
          <w:kern w:val="0"/>
          <w:sz w:val="32"/>
          <w:szCs w:val="32"/>
        </w:rPr>
        <w:t>项目编号：</w:t>
      </w:r>
      <w:r>
        <w:rPr>
          <w:rFonts w:hint="eastAsia" w:ascii="宋体" w:hAnsi="宋体" w:eastAsia="宋体" w:cs="宋体"/>
          <w:b/>
          <w:bCs/>
          <w:kern w:val="0"/>
          <w:sz w:val="32"/>
          <w:szCs w:val="32"/>
          <w:u w:val="single"/>
        </w:rPr>
        <w:t>（由投标人填写）</w:t>
      </w:r>
    </w:p>
    <w:p w14:paraId="1FEEFB2B">
      <w:pPr>
        <w:widowControl/>
        <w:spacing w:after="150"/>
        <w:ind w:firstLine="1920"/>
        <w:jc w:val="left"/>
        <w:rPr>
          <w:rFonts w:ascii="宋体" w:hAnsi="宋体" w:eastAsia="宋体" w:cs="宋体"/>
          <w:kern w:val="0"/>
          <w:sz w:val="24"/>
          <w:szCs w:val="24"/>
        </w:rPr>
      </w:pPr>
      <w:r>
        <w:rPr>
          <w:rFonts w:hint="eastAsia" w:ascii="宋体" w:hAnsi="宋体" w:eastAsia="宋体" w:cs="宋体"/>
          <w:b/>
          <w:bCs/>
          <w:kern w:val="0"/>
          <w:sz w:val="32"/>
          <w:szCs w:val="32"/>
        </w:rPr>
        <w:t>所投采购包：</w:t>
      </w:r>
      <w:r>
        <w:rPr>
          <w:rFonts w:hint="eastAsia" w:ascii="宋体" w:hAnsi="宋体" w:eastAsia="宋体" w:cs="宋体"/>
          <w:b/>
          <w:bCs/>
          <w:kern w:val="0"/>
          <w:sz w:val="32"/>
          <w:szCs w:val="32"/>
          <w:u w:val="single"/>
        </w:rPr>
        <w:t>（由投标人填写）</w:t>
      </w:r>
    </w:p>
    <w:p w14:paraId="4BEFE735">
      <w:pPr>
        <w:widowControl/>
        <w:spacing w:after="150"/>
        <w:jc w:val="left"/>
        <w:rPr>
          <w:rFonts w:ascii="宋体" w:hAnsi="宋体" w:eastAsia="宋体" w:cs="宋体"/>
          <w:kern w:val="0"/>
          <w:sz w:val="24"/>
          <w:szCs w:val="24"/>
        </w:rPr>
      </w:pPr>
      <w:r>
        <w:rPr>
          <w:rFonts w:hint="eastAsia" w:ascii="宋体" w:hAnsi="宋体" w:eastAsia="宋体" w:cs="宋体"/>
          <w:kern w:val="0"/>
          <w:sz w:val="36"/>
          <w:szCs w:val="36"/>
        </w:rPr>
        <w:t> </w:t>
      </w:r>
    </w:p>
    <w:p w14:paraId="2491A6D0">
      <w:pPr>
        <w:widowControl/>
        <w:spacing w:after="150"/>
        <w:jc w:val="left"/>
        <w:rPr>
          <w:rFonts w:ascii="宋体" w:hAnsi="宋体" w:eastAsia="宋体" w:cs="宋体"/>
          <w:kern w:val="0"/>
          <w:sz w:val="24"/>
          <w:szCs w:val="24"/>
        </w:rPr>
      </w:pPr>
      <w:r>
        <w:rPr>
          <w:rFonts w:hint="eastAsia" w:ascii="宋体" w:hAnsi="宋体" w:eastAsia="宋体" w:cs="宋体"/>
          <w:kern w:val="0"/>
          <w:sz w:val="36"/>
          <w:szCs w:val="36"/>
        </w:rPr>
        <w:t> </w:t>
      </w:r>
    </w:p>
    <w:p w14:paraId="405333B5">
      <w:pPr>
        <w:widowControl/>
        <w:spacing w:after="150"/>
        <w:jc w:val="left"/>
        <w:rPr>
          <w:rFonts w:ascii="宋体" w:hAnsi="宋体" w:eastAsia="宋体" w:cs="宋体"/>
          <w:kern w:val="0"/>
          <w:sz w:val="24"/>
          <w:szCs w:val="24"/>
        </w:rPr>
      </w:pPr>
      <w:r>
        <w:rPr>
          <w:rFonts w:hint="eastAsia" w:ascii="宋体" w:hAnsi="宋体" w:eastAsia="宋体" w:cs="宋体"/>
          <w:kern w:val="0"/>
          <w:sz w:val="36"/>
          <w:szCs w:val="36"/>
        </w:rPr>
        <w:t> </w:t>
      </w:r>
    </w:p>
    <w:p w14:paraId="0496FCCA">
      <w:pPr>
        <w:widowControl/>
        <w:spacing w:after="150"/>
        <w:jc w:val="left"/>
        <w:rPr>
          <w:rFonts w:ascii="宋体" w:hAnsi="宋体" w:eastAsia="宋体" w:cs="宋体"/>
          <w:kern w:val="0"/>
          <w:sz w:val="24"/>
          <w:szCs w:val="24"/>
        </w:rPr>
      </w:pPr>
      <w:r>
        <w:rPr>
          <w:rFonts w:hint="eastAsia" w:ascii="宋体" w:hAnsi="宋体" w:eastAsia="宋体" w:cs="宋体"/>
          <w:kern w:val="0"/>
          <w:sz w:val="36"/>
          <w:szCs w:val="36"/>
        </w:rPr>
        <w:t> </w:t>
      </w:r>
    </w:p>
    <w:p w14:paraId="32BC3C2A">
      <w:pPr>
        <w:widowControl/>
        <w:spacing w:after="150"/>
        <w:jc w:val="center"/>
        <w:rPr>
          <w:rFonts w:ascii="宋体" w:hAnsi="宋体" w:eastAsia="宋体" w:cs="宋体"/>
          <w:kern w:val="0"/>
          <w:sz w:val="24"/>
          <w:szCs w:val="24"/>
        </w:rPr>
      </w:pPr>
      <w:r>
        <w:rPr>
          <w:rFonts w:hint="eastAsia" w:ascii="宋体" w:hAnsi="宋体" w:eastAsia="宋体" w:cs="宋体"/>
          <w:b/>
          <w:bCs/>
          <w:kern w:val="0"/>
          <w:sz w:val="32"/>
          <w:szCs w:val="32"/>
        </w:rPr>
        <w:t>投标人：</w:t>
      </w:r>
      <w:r>
        <w:rPr>
          <w:rFonts w:hint="eastAsia" w:ascii="宋体" w:hAnsi="宋体" w:eastAsia="宋体" w:cs="宋体"/>
          <w:b/>
          <w:bCs/>
          <w:kern w:val="0"/>
          <w:sz w:val="32"/>
          <w:szCs w:val="32"/>
          <w:u w:val="single"/>
        </w:rPr>
        <w:t>（填写“全称”）</w:t>
      </w:r>
    </w:p>
    <w:p w14:paraId="50459FE2">
      <w:pPr>
        <w:widowControl/>
        <w:spacing w:after="150"/>
        <w:jc w:val="center"/>
        <w:rPr>
          <w:rFonts w:ascii="宋体" w:hAnsi="宋体" w:eastAsia="宋体" w:cs="宋体"/>
          <w:kern w:val="0"/>
          <w:sz w:val="24"/>
          <w:szCs w:val="24"/>
        </w:rPr>
      </w:pPr>
      <w:r>
        <w:rPr>
          <w:rFonts w:hint="eastAsia" w:ascii="宋体" w:hAnsi="宋体" w:eastAsia="宋体" w:cs="宋体"/>
          <w:b/>
          <w:bCs/>
          <w:kern w:val="0"/>
          <w:sz w:val="32"/>
          <w:szCs w:val="32"/>
          <w:u w:val="single"/>
        </w:rPr>
        <w:t>（由投标人填写）</w:t>
      </w:r>
      <w:r>
        <w:rPr>
          <w:rFonts w:hint="eastAsia" w:ascii="宋体" w:hAnsi="宋体" w:eastAsia="宋体" w:cs="宋体"/>
          <w:b/>
          <w:bCs/>
          <w:kern w:val="0"/>
          <w:sz w:val="32"/>
          <w:szCs w:val="32"/>
        </w:rPr>
        <w:t>年</w:t>
      </w:r>
      <w:r>
        <w:rPr>
          <w:rFonts w:hint="eastAsia" w:ascii="宋体" w:hAnsi="宋体" w:eastAsia="宋体" w:cs="宋体"/>
          <w:b/>
          <w:bCs/>
          <w:kern w:val="0"/>
          <w:sz w:val="32"/>
          <w:szCs w:val="32"/>
          <w:u w:val="single"/>
        </w:rPr>
        <w:t>（由投标人填写）</w:t>
      </w:r>
      <w:r>
        <w:rPr>
          <w:rFonts w:hint="eastAsia" w:ascii="宋体" w:hAnsi="宋体" w:eastAsia="宋体" w:cs="宋体"/>
          <w:b/>
          <w:bCs/>
          <w:kern w:val="0"/>
          <w:sz w:val="32"/>
          <w:szCs w:val="32"/>
        </w:rPr>
        <w:t>月</w:t>
      </w:r>
    </w:p>
    <w:p w14:paraId="298AA9E9">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14:paraId="778E2D4F">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14:paraId="44DE8DCE">
      <w:pPr>
        <w:widowControl/>
        <w:spacing w:after="150"/>
        <w:jc w:val="center"/>
        <w:rPr>
          <w:rFonts w:ascii="宋体" w:hAnsi="宋体" w:eastAsia="宋体" w:cs="宋体"/>
          <w:kern w:val="0"/>
          <w:sz w:val="24"/>
          <w:szCs w:val="24"/>
        </w:rPr>
      </w:pPr>
      <w:r>
        <w:rPr>
          <w:rFonts w:ascii="Calibri" w:hAnsi="Calibri" w:eastAsia="宋体" w:cs="Calibri"/>
          <w:kern w:val="0"/>
          <w:szCs w:val="21"/>
        </w:rPr>
        <w:br w:type="textWrapping"/>
      </w:r>
      <w:r>
        <w:rPr>
          <w:rFonts w:hint="eastAsia" w:ascii="宋体" w:hAnsi="宋体" w:eastAsia="宋体" w:cs="宋体"/>
          <w:b/>
          <w:bCs/>
          <w:kern w:val="0"/>
          <w:sz w:val="29"/>
          <w:szCs w:val="29"/>
        </w:rPr>
        <w:t>索引</w:t>
      </w:r>
    </w:p>
    <w:p w14:paraId="5864268D">
      <w:pPr>
        <w:widowControl/>
        <w:spacing w:after="150"/>
        <w:jc w:val="left"/>
        <w:rPr>
          <w:rFonts w:ascii="宋体" w:hAnsi="宋体" w:eastAsia="宋体" w:cs="宋体"/>
          <w:kern w:val="0"/>
          <w:sz w:val="24"/>
          <w:szCs w:val="24"/>
        </w:rPr>
      </w:pPr>
      <w:r>
        <w:rPr>
          <w:rFonts w:hint="eastAsia" w:ascii="宋体" w:hAnsi="宋体" w:eastAsia="宋体" w:cs="宋体"/>
          <w:kern w:val="0"/>
          <w:sz w:val="29"/>
          <w:szCs w:val="29"/>
        </w:rPr>
        <w:t>一、开标一览表</w:t>
      </w:r>
    </w:p>
    <w:p w14:paraId="0A75E018">
      <w:pPr>
        <w:widowControl/>
        <w:spacing w:after="150"/>
        <w:jc w:val="left"/>
        <w:rPr>
          <w:rFonts w:ascii="宋体" w:hAnsi="宋体" w:eastAsia="宋体" w:cs="宋体"/>
          <w:kern w:val="0"/>
          <w:sz w:val="24"/>
          <w:szCs w:val="24"/>
        </w:rPr>
      </w:pPr>
      <w:r>
        <w:rPr>
          <w:rFonts w:hint="eastAsia" w:ascii="宋体" w:hAnsi="宋体" w:eastAsia="宋体" w:cs="宋体"/>
          <w:kern w:val="0"/>
          <w:sz w:val="29"/>
          <w:szCs w:val="29"/>
        </w:rPr>
        <w:t>二、投标分项报价表</w:t>
      </w:r>
    </w:p>
    <w:p w14:paraId="74B3B277">
      <w:pPr>
        <w:widowControl/>
        <w:spacing w:after="150"/>
        <w:jc w:val="left"/>
        <w:rPr>
          <w:rFonts w:ascii="宋体" w:hAnsi="宋体" w:eastAsia="宋体" w:cs="宋体"/>
          <w:kern w:val="0"/>
          <w:sz w:val="24"/>
          <w:szCs w:val="24"/>
        </w:rPr>
      </w:pPr>
      <w:r>
        <w:rPr>
          <w:rFonts w:hint="eastAsia" w:ascii="宋体" w:hAnsi="宋体" w:eastAsia="宋体" w:cs="宋体"/>
          <w:kern w:val="0"/>
          <w:sz w:val="29"/>
          <w:szCs w:val="29"/>
        </w:rPr>
        <w:t>三、招标文件规定的价格扣除证明材料（若有）</w:t>
      </w:r>
    </w:p>
    <w:p w14:paraId="6F6FD380">
      <w:pPr>
        <w:widowControl/>
        <w:spacing w:after="150"/>
        <w:jc w:val="left"/>
        <w:rPr>
          <w:rFonts w:ascii="宋体" w:hAnsi="宋体" w:eastAsia="宋体" w:cs="宋体"/>
          <w:kern w:val="0"/>
          <w:sz w:val="24"/>
          <w:szCs w:val="24"/>
        </w:rPr>
      </w:pPr>
      <w:r>
        <w:rPr>
          <w:rFonts w:hint="eastAsia" w:ascii="宋体" w:hAnsi="宋体" w:eastAsia="宋体" w:cs="宋体"/>
          <w:kern w:val="0"/>
          <w:sz w:val="29"/>
          <w:szCs w:val="29"/>
        </w:rPr>
        <w:t>四、招标文件规定的加分证明材料（若有）</w:t>
      </w:r>
    </w:p>
    <w:p w14:paraId="6D7AB262">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14:paraId="41007BA3">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14:paraId="117DA1B4">
      <w:pPr>
        <w:widowControl/>
        <w:spacing w:after="150"/>
        <w:jc w:val="center"/>
        <w:rPr>
          <w:rFonts w:ascii="宋体" w:hAnsi="宋体" w:eastAsia="宋体" w:cs="宋体"/>
          <w:kern w:val="0"/>
          <w:sz w:val="24"/>
          <w:szCs w:val="24"/>
        </w:rPr>
      </w:pPr>
      <w:r>
        <w:rPr>
          <w:rFonts w:ascii="Calibri" w:hAnsi="Calibri" w:eastAsia="宋体" w:cs="Calibri"/>
          <w:kern w:val="0"/>
          <w:szCs w:val="21"/>
        </w:rPr>
        <w:br w:type="textWrapping"/>
      </w:r>
      <w:r>
        <w:rPr>
          <w:rFonts w:hint="eastAsia" w:ascii="宋体" w:hAnsi="宋体" w:eastAsia="宋体" w:cs="宋体"/>
          <w:b/>
          <w:bCs/>
          <w:kern w:val="0"/>
          <w:szCs w:val="21"/>
        </w:rPr>
        <w:t>一、开标一览表</w:t>
      </w:r>
    </w:p>
    <w:p w14:paraId="12BE29C7">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14:paraId="0513CBBD">
      <w:pPr>
        <w:widowControl/>
        <w:spacing w:after="150"/>
        <w:jc w:val="left"/>
        <w:rPr>
          <w:rFonts w:ascii="宋体" w:hAnsi="宋体" w:eastAsia="宋体" w:cs="宋体"/>
          <w:kern w:val="0"/>
          <w:sz w:val="24"/>
          <w:szCs w:val="24"/>
        </w:rPr>
      </w:pPr>
      <w:r>
        <w:rPr>
          <w:rFonts w:hint="eastAsia" w:ascii="宋体" w:hAnsi="宋体" w:eastAsia="宋体" w:cs="宋体"/>
          <w:kern w:val="0"/>
          <w:szCs w:val="21"/>
        </w:rPr>
        <w:t>项目编号：</w:t>
      </w:r>
      <w:r>
        <w:rPr>
          <w:rFonts w:hint="eastAsia" w:ascii="宋体" w:hAnsi="宋体" w:eastAsia="宋体" w:cs="宋体"/>
          <w:kern w:val="0"/>
          <w:szCs w:val="21"/>
          <w:u w:val="single"/>
        </w:rPr>
        <w:t>                   </w:t>
      </w:r>
    </w:p>
    <w:p w14:paraId="0BD5591A">
      <w:pPr>
        <w:widowControl/>
        <w:spacing w:after="150"/>
        <w:jc w:val="right"/>
        <w:rPr>
          <w:rFonts w:ascii="宋体" w:hAnsi="宋体" w:eastAsia="宋体" w:cs="宋体"/>
          <w:kern w:val="0"/>
          <w:sz w:val="24"/>
          <w:szCs w:val="24"/>
        </w:rPr>
      </w:pPr>
      <w:r>
        <w:rPr>
          <w:rFonts w:hint="eastAsia" w:ascii="宋体" w:hAnsi="宋体" w:eastAsia="宋体" w:cs="宋体"/>
          <w:kern w:val="0"/>
          <w:szCs w:val="21"/>
        </w:rPr>
        <w:t>货币及单位：人民币元</w:t>
      </w:r>
    </w:p>
    <w:tbl>
      <w:tblPr>
        <w:tblStyle w:val="9"/>
        <w:tblW w:w="8520" w:type="dxa"/>
        <w:tblInd w:w="0" w:type="dxa"/>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1065"/>
        <w:gridCol w:w="5670"/>
        <w:gridCol w:w="713"/>
        <w:gridCol w:w="1072"/>
      </w:tblGrid>
      <w:tr w14:paraId="7B44FD8B">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138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3FA5EDC">
            <w:pPr>
              <w:widowControl/>
              <w:spacing w:after="150"/>
              <w:jc w:val="center"/>
              <w:rPr>
                <w:rFonts w:ascii="宋体" w:hAnsi="宋体" w:eastAsia="宋体" w:cs="宋体"/>
                <w:kern w:val="0"/>
                <w:sz w:val="24"/>
                <w:szCs w:val="24"/>
              </w:rPr>
            </w:pPr>
            <w:r>
              <w:rPr>
                <w:rFonts w:hint="eastAsia" w:ascii="宋体" w:hAnsi="宋体" w:eastAsia="宋体" w:cs="宋体"/>
                <w:kern w:val="0"/>
                <w:szCs w:val="21"/>
              </w:rPr>
              <w:t>采购包</w:t>
            </w:r>
          </w:p>
        </w:tc>
        <w:tc>
          <w:tcPr>
            <w:tcW w:w="510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64AC047">
            <w:pPr>
              <w:widowControl/>
              <w:spacing w:after="150"/>
              <w:jc w:val="center"/>
              <w:rPr>
                <w:rFonts w:ascii="宋体" w:hAnsi="宋体" w:eastAsia="宋体" w:cs="宋体"/>
                <w:kern w:val="0"/>
                <w:sz w:val="24"/>
                <w:szCs w:val="24"/>
              </w:rPr>
            </w:pPr>
            <w:r>
              <w:rPr>
                <w:rFonts w:hint="eastAsia" w:ascii="宋体" w:hAnsi="宋体" w:eastAsia="宋体" w:cs="宋体"/>
                <w:kern w:val="0"/>
                <w:szCs w:val="21"/>
              </w:rPr>
              <w:t>投标报价</w:t>
            </w:r>
          </w:p>
        </w:tc>
        <w:tc>
          <w:tcPr>
            <w:tcW w:w="85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F4B3778">
            <w:pPr>
              <w:widowControl/>
              <w:spacing w:after="150"/>
              <w:jc w:val="center"/>
              <w:rPr>
                <w:rFonts w:ascii="宋体" w:hAnsi="宋体" w:eastAsia="宋体" w:cs="宋体"/>
                <w:kern w:val="0"/>
                <w:sz w:val="24"/>
                <w:szCs w:val="24"/>
              </w:rPr>
            </w:pPr>
            <w:r>
              <w:rPr>
                <w:rFonts w:hint="eastAsia" w:ascii="宋体" w:hAnsi="宋体" w:eastAsia="宋体" w:cs="宋体"/>
                <w:kern w:val="0"/>
                <w:szCs w:val="21"/>
              </w:rPr>
              <w:t>投标</w:t>
            </w:r>
          </w:p>
          <w:p w14:paraId="2451B2C0">
            <w:pPr>
              <w:widowControl/>
              <w:spacing w:after="150"/>
              <w:jc w:val="center"/>
              <w:rPr>
                <w:rFonts w:ascii="宋体" w:hAnsi="宋体" w:eastAsia="宋体" w:cs="宋体"/>
                <w:kern w:val="0"/>
                <w:sz w:val="24"/>
                <w:szCs w:val="24"/>
              </w:rPr>
            </w:pPr>
            <w:r>
              <w:rPr>
                <w:rFonts w:hint="eastAsia" w:ascii="宋体" w:hAnsi="宋体" w:eastAsia="宋体" w:cs="宋体"/>
                <w:kern w:val="0"/>
                <w:szCs w:val="21"/>
              </w:rPr>
              <w:t>保证金</w:t>
            </w:r>
          </w:p>
        </w:tc>
        <w:tc>
          <w:tcPr>
            <w:tcW w:w="118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0CA1CC0">
            <w:pPr>
              <w:widowControl/>
              <w:spacing w:after="150"/>
              <w:jc w:val="center"/>
              <w:rPr>
                <w:rFonts w:ascii="宋体" w:hAnsi="宋体" w:eastAsia="宋体" w:cs="宋体"/>
                <w:kern w:val="0"/>
                <w:sz w:val="24"/>
                <w:szCs w:val="24"/>
              </w:rPr>
            </w:pPr>
            <w:r>
              <w:rPr>
                <w:rFonts w:hint="eastAsia" w:ascii="宋体" w:hAnsi="宋体" w:eastAsia="宋体" w:cs="宋体"/>
                <w:kern w:val="0"/>
                <w:szCs w:val="21"/>
              </w:rPr>
              <w:t>备注</w:t>
            </w:r>
          </w:p>
        </w:tc>
      </w:tr>
      <w:tr w14:paraId="5FDA230D">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800" w:hRule="atLeast"/>
        </w:trPr>
        <w:tc>
          <w:tcPr>
            <w:tcW w:w="138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25F9E3E">
            <w:pPr>
              <w:widowControl/>
              <w:spacing w:after="150"/>
              <w:jc w:val="center"/>
              <w:rPr>
                <w:rFonts w:ascii="宋体" w:hAnsi="宋体" w:eastAsia="宋体" w:cs="宋体"/>
                <w:kern w:val="0"/>
                <w:sz w:val="24"/>
                <w:szCs w:val="24"/>
              </w:rPr>
            </w:pPr>
            <w:r>
              <w:rPr>
                <w:rFonts w:hint="eastAsia" w:ascii="宋体" w:hAnsi="宋体" w:eastAsia="宋体" w:cs="宋体"/>
                <w:kern w:val="0"/>
                <w:szCs w:val="21"/>
              </w:rPr>
              <w:t>*</w:t>
            </w:r>
          </w:p>
        </w:tc>
        <w:tc>
          <w:tcPr>
            <w:tcW w:w="510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7122E1D">
            <w:pPr>
              <w:widowControl/>
              <w:spacing w:after="150"/>
              <w:jc w:val="left"/>
              <w:rPr>
                <w:rFonts w:ascii="宋体" w:hAnsi="宋体" w:eastAsia="宋体" w:cs="宋体"/>
                <w:kern w:val="0"/>
                <w:sz w:val="24"/>
                <w:szCs w:val="24"/>
              </w:rPr>
            </w:pPr>
            <w:r>
              <w:rPr>
                <w:rFonts w:hint="eastAsia" w:ascii="宋体" w:hAnsi="宋体" w:eastAsia="宋体" w:cs="宋体"/>
                <w:kern w:val="0"/>
                <w:szCs w:val="21"/>
              </w:rPr>
              <w:t>投标总价（大写金额）：</w:t>
            </w:r>
            <w:r>
              <w:rPr>
                <w:rFonts w:hint="eastAsia" w:ascii="宋体" w:hAnsi="宋体" w:eastAsia="宋体" w:cs="宋体"/>
                <w:kern w:val="0"/>
                <w:szCs w:val="21"/>
                <w:u w:val="single"/>
              </w:rPr>
              <w:t>                      </w:t>
            </w:r>
            <w:r>
              <w:rPr>
                <w:rFonts w:hint="eastAsia" w:ascii="宋体" w:hAnsi="宋体" w:eastAsia="宋体" w:cs="宋体"/>
                <w:kern w:val="0"/>
                <w:szCs w:val="21"/>
              </w:rPr>
              <w:t>。</w:t>
            </w: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1117859">
            <w:pPr>
              <w:widowControl/>
              <w:jc w:val="left"/>
              <w:rPr>
                <w:rFonts w:ascii="宋体" w:hAnsi="宋体" w:eastAsia="宋体" w:cs="宋体"/>
                <w:kern w:val="0"/>
                <w:sz w:val="24"/>
                <w:szCs w:val="24"/>
              </w:rPr>
            </w:pPr>
          </w:p>
        </w:tc>
        <w:tc>
          <w:tcPr>
            <w:tcW w:w="1185" w:type="dxa"/>
            <w:vMerge w:val="restar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4C2A40A">
            <w:pPr>
              <w:widowControl/>
              <w:spacing w:after="150"/>
              <w:jc w:val="left"/>
              <w:rPr>
                <w:rFonts w:ascii="宋体" w:hAnsi="宋体" w:eastAsia="宋体" w:cs="宋体"/>
                <w:kern w:val="0"/>
                <w:sz w:val="24"/>
                <w:szCs w:val="24"/>
              </w:rPr>
            </w:pPr>
            <w:r>
              <w:rPr>
                <w:rFonts w:hint="eastAsia" w:ascii="宋体" w:hAnsi="宋体" w:eastAsia="宋体" w:cs="宋体"/>
                <w:kern w:val="0"/>
                <w:szCs w:val="21"/>
              </w:rPr>
              <w:t>a.投标报价的明细：详见《投标分项报价表》。</w:t>
            </w:r>
          </w:p>
          <w:p w14:paraId="5AD76BCD">
            <w:pPr>
              <w:widowControl/>
              <w:spacing w:after="150"/>
              <w:jc w:val="left"/>
              <w:rPr>
                <w:rFonts w:ascii="宋体" w:hAnsi="宋体" w:eastAsia="宋体" w:cs="宋体"/>
                <w:kern w:val="0"/>
                <w:sz w:val="24"/>
                <w:szCs w:val="24"/>
              </w:rPr>
            </w:pPr>
            <w:r>
              <w:rPr>
                <w:rFonts w:hint="eastAsia" w:ascii="宋体" w:hAnsi="宋体" w:eastAsia="宋体" w:cs="宋体"/>
                <w:kern w:val="0"/>
                <w:szCs w:val="21"/>
              </w:rPr>
              <w:t>b.招标文件规定的价格扣除证明材料（若有）：详见报价部分。</w:t>
            </w:r>
          </w:p>
        </w:tc>
      </w:tr>
      <w:tr w14:paraId="22F07393">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138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99CC9BB">
            <w:pPr>
              <w:widowControl/>
              <w:spacing w:after="150"/>
              <w:jc w:val="center"/>
              <w:rPr>
                <w:rFonts w:ascii="宋体" w:hAnsi="宋体" w:eastAsia="宋体" w:cs="宋体"/>
                <w:kern w:val="0"/>
                <w:sz w:val="24"/>
                <w:szCs w:val="24"/>
              </w:rPr>
            </w:pPr>
            <w:r>
              <w:rPr>
                <w:rFonts w:ascii="Calibri" w:hAnsi="Calibri" w:eastAsia="宋体" w:cs="Calibri"/>
                <w:kern w:val="0"/>
                <w:szCs w:val="21"/>
              </w:rPr>
              <w:t>…</w:t>
            </w:r>
          </w:p>
        </w:tc>
        <w:tc>
          <w:tcPr>
            <w:tcW w:w="510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A899FD0">
            <w:pPr>
              <w:widowControl/>
              <w:spacing w:after="150"/>
              <w:jc w:val="left"/>
              <w:rPr>
                <w:rFonts w:ascii="宋体" w:hAnsi="宋体" w:eastAsia="宋体" w:cs="宋体"/>
                <w:kern w:val="0"/>
                <w:sz w:val="24"/>
                <w:szCs w:val="24"/>
              </w:rPr>
            </w:pPr>
            <w:r>
              <w:rPr>
                <w:rFonts w:hint="eastAsia" w:ascii="宋体" w:hAnsi="宋体" w:eastAsia="宋体" w:cs="宋体"/>
                <w:kern w:val="0"/>
                <w:szCs w:val="21"/>
              </w:rPr>
              <w:t>投标总价（大写金额）：</w:t>
            </w:r>
            <w:r>
              <w:rPr>
                <w:rFonts w:hint="eastAsia" w:ascii="宋体" w:hAnsi="宋体" w:eastAsia="宋体" w:cs="宋体"/>
                <w:kern w:val="0"/>
                <w:szCs w:val="21"/>
                <w:u w:val="single"/>
              </w:rPr>
              <w:t>                      </w:t>
            </w:r>
            <w:r>
              <w:rPr>
                <w:rFonts w:hint="eastAsia" w:ascii="宋体" w:hAnsi="宋体" w:eastAsia="宋体" w:cs="宋体"/>
                <w:kern w:val="0"/>
                <w:szCs w:val="21"/>
              </w:rPr>
              <w:t>。</w:t>
            </w: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1A78B86">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14:paraId="54921BA6">
            <w:pPr>
              <w:widowControl/>
              <w:jc w:val="left"/>
              <w:rPr>
                <w:rFonts w:ascii="宋体" w:hAnsi="宋体" w:eastAsia="宋体" w:cs="宋体"/>
                <w:kern w:val="0"/>
                <w:sz w:val="24"/>
                <w:szCs w:val="24"/>
              </w:rPr>
            </w:pPr>
          </w:p>
        </w:tc>
      </w:tr>
    </w:tbl>
    <w:p w14:paraId="097ED252">
      <w:pPr>
        <w:widowControl/>
        <w:spacing w:after="150"/>
        <w:jc w:val="left"/>
        <w:rPr>
          <w:rFonts w:ascii="宋体" w:hAnsi="宋体" w:eastAsia="宋体" w:cs="宋体"/>
          <w:kern w:val="0"/>
          <w:sz w:val="24"/>
          <w:szCs w:val="24"/>
        </w:rPr>
      </w:pPr>
      <w:r>
        <w:rPr>
          <w:rFonts w:hint="eastAsia" w:ascii="宋体" w:hAnsi="宋体" w:eastAsia="宋体" w:cs="宋体"/>
          <w:kern w:val="0"/>
          <w:szCs w:val="21"/>
        </w:rPr>
        <w:t>※注意：</w:t>
      </w:r>
    </w:p>
    <w:p w14:paraId="22AA38C8">
      <w:pPr>
        <w:widowControl/>
        <w:spacing w:after="150"/>
        <w:jc w:val="left"/>
        <w:rPr>
          <w:rFonts w:ascii="宋体" w:hAnsi="宋体" w:eastAsia="宋体" w:cs="宋体"/>
          <w:kern w:val="0"/>
          <w:sz w:val="24"/>
          <w:szCs w:val="24"/>
        </w:rPr>
      </w:pPr>
      <w:r>
        <w:rPr>
          <w:rFonts w:hint="eastAsia" w:ascii="宋体" w:hAnsi="宋体" w:eastAsia="宋体" w:cs="宋体"/>
          <w:kern w:val="0"/>
          <w:szCs w:val="21"/>
        </w:rPr>
        <w:t>1、本表应按照下列规定填写：</w:t>
      </w:r>
    </w:p>
    <w:p w14:paraId="347D414D">
      <w:pPr>
        <w:widowControl/>
        <w:spacing w:after="150"/>
        <w:jc w:val="left"/>
        <w:rPr>
          <w:rFonts w:ascii="宋体" w:hAnsi="宋体" w:eastAsia="宋体" w:cs="宋体"/>
          <w:kern w:val="0"/>
          <w:sz w:val="24"/>
          <w:szCs w:val="24"/>
        </w:rPr>
      </w:pPr>
      <w:r>
        <w:rPr>
          <w:rFonts w:hint="eastAsia" w:ascii="宋体" w:hAnsi="宋体" w:eastAsia="宋体" w:cs="宋体"/>
          <w:kern w:val="0"/>
          <w:szCs w:val="21"/>
        </w:rPr>
        <w:t>1.1投标人应按照本表格式填写所投的采购包的“投标报价”。</w:t>
      </w:r>
    </w:p>
    <w:p w14:paraId="12331753">
      <w:pPr>
        <w:widowControl/>
        <w:spacing w:after="150"/>
        <w:jc w:val="left"/>
        <w:rPr>
          <w:rFonts w:ascii="宋体" w:hAnsi="宋体" w:eastAsia="宋体" w:cs="宋体"/>
          <w:kern w:val="0"/>
          <w:sz w:val="24"/>
          <w:szCs w:val="24"/>
        </w:rPr>
      </w:pPr>
      <w:r>
        <w:rPr>
          <w:rFonts w:hint="eastAsia" w:ascii="宋体" w:hAnsi="宋体" w:eastAsia="宋体" w:cs="宋体"/>
          <w:kern w:val="0"/>
          <w:szCs w:val="21"/>
        </w:rPr>
        <w:t>1.2本表中列示的“采购包”应与《投标分项报价表》中列示的“采购包”保持一致，即：若本表中列示的“采购包”为“</w:t>
      </w:r>
      <w:r>
        <w:rPr>
          <w:rFonts w:ascii="Calibri" w:hAnsi="Calibri" w:eastAsia="宋体" w:cs="Calibri"/>
          <w:kern w:val="0"/>
          <w:szCs w:val="21"/>
        </w:rPr>
        <w:t>1</w:t>
      </w:r>
      <w:r>
        <w:rPr>
          <w:rFonts w:hint="eastAsia" w:ascii="宋体" w:hAnsi="宋体" w:eastAsia="宋体" w:cs="宋体"/>
          <w:kern w:val="0"/>
          <w:szCs w:val="21"/>
        </w:rPr>
        <w:t>”时，《投标分项报价表》中列示的“采购包”亦应为“</w:t>
      </w:r>
      <w:r>
        <w:rPr>
          <w:rFonts w:ascii="Calibri" w:hAnsi="Calibri" w:eastAsia="宋体" w:cs="Calibri"/>
          <w:kern w:val="0"/>
          <w:szCs w:val="21"/>
        </w:rPr>
        <w:t>1</w:t>
      </w:r>
      <w:r>
        <w:rPr>
          <w:rFonts w:hint="eastAsia" w:ascii="宋体" w:hAnsi="宋体" w:eastAsia="宋体" w:cs="宋体"/>
          <w:kern w:val="0"/>
          <w:szCs w:val="21"/>
        </w:rPr>
        <w:t>”，以此类推。</w:t>
      </w:r>
    </w:p>
    <w:p w14:paraId="4BCD6E2B">
      <w:pPr>
        <w:widowControl/>
        <w:spacing w:after="150"/>
        <w:jc w:val="left"/>
        <w:rPr>
          <w:rFonts w:ascii="宋体" w:hAnsi="宋体" w:eastAsia="宋体" w:cs="宋体"/>
          <w:kern w:val="0"/>
          <w:sz w:val="24"/>
          <w:szCs w:val="24"/>
        </w:rPr>
      </w:pPr>
      <w:r>
        <w:rPr>
          <w:rFonts w:hint="eastAsia" w:ascii="宋体" w:hAnsi="宋体" w:eastAsia="宋体" w:cs="宋体"/>
          <w:kern w:val="0"/>
          <w:szCs w:val="21"/>
        </w:rPr>
        <w:t>1.3“大写金额”指“投标报价”应用“壹、贰、叁、肆、伍、陆、柒、捌、玖、拾、佰、仟、万、亿、元、角、分、零”等进行填写。</w:t>
      </w:r>
    </w:p>
    <w:p w14:paraId="554E9D4C">
      <w:pPr>
        <w:widowControl/>
        <w:spacing w:after="150"/>
        <w:jc w:val="left"/>
        <w:rPr>
          <w:rFonts w:ascii="宋体" w:hAnsi="宋体" w:eastAsia="宋体" w:cs="宋体"/>
          <w:kern w:val="0"/>
          <w:sz w:val="24"/>
          <w:szCs w:val="24"/>
        </w:rPr>
      </w:pPr>
    </w:p>
    <w:p w14:paraId="38AF4157">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14:paraId="435FCDB8">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14:paraId="255FD075">
      <w:pPr>
        <w:widowControl/>
        <w:spacing w:after="150"/>
        <w:jc w:val="left"/>
        <w:rPr>
          <w:rFonts w:ascii="宋体" w:hAnsi="宋体" w:eastAsia="宋体" w:cs="宋体"/>
          <w:kern w:val="0"/>
          <w:sz w:val="24"/>
          <w:szCs w:val="24"/>
        </w:rPr>
      </w:pPr>
      <w:r>
        <w:rPr>
          <w:rFonts w:hint="eastAsia" w:ascii="宋体" w:hAnsi="宋体" w:eastAsia="宋体" w:cs="宋体"/>
          <w:kern w:val="0"/>
          <w:szCs w:val="21"/>
        </w:rPr>
        <w:t>投标人：</w:t>
      </w:r>
      <w:r>
        <w:rPr>
          <w:rFonts w:hint="eastAsia" w:ascii="宋体" w:hAnsi="宋体" w:eastAsia="宋体" w:cs="宋体"/>
          <w:kern w:val="0"/>
          <w:szCs w:val="21"/>
          <w:u w:val="single"/>
        </w:rPr>
        <w:t>（全称并加盖单位公章）</w:t>
      </w:r>
    </w:p>
    <w:p w14:paraId="4F83DE7C">
      <w:pPr>
        <w:widowControl/>
        <w:spacing w:after="150"/>
        <w:jc w:val="left"/>
        <w:rPr>
          <w:rFonts w:ascii="宋体" w:hAnsi="宋体" w:eastAsia="宋体" w:cs="宋体"/>
          <w:kern w:val="0"/>
          <w:sz w:val="24"/>
          <w:szCs w:val="24"/>
        </w:rPr>
      </w:pPr>
      <w:r>
        <w:rPr>
          <w:rFonts w:hint="eastAsia" w:ascii="宋体" w:hAnsi="宋体" w:eastAsia="宋体" w:cs="宋体"/>
          <w:kern w:val="0"/>
          <w:szCs w:val="21"/>
        </w:rPr>
        <w:t>日期：</w:t>
      </w:r>
      <w:r>
        <w:rPr>
          <w:rFonts w:hint="eastAsia" w:ascii="宋体" w:hAnsi="宋体" w:eastAsia="宋体" w:cs="宋体"/>
          <w:kern w:val="0"/>
          <w:szCs w:val="21"/>
          <w:u w:val="single"/>
        </w:rPr>
        <w:t>    </w:t>
      </w:r>
      <w:r>
        <w:rPr>
          <w:rFonts w:hint="eastAsia" w:ascii="宋体" w:hAnsi="宋体" w:eastAsia="宋体" w:cs="宋体"/>
          <w:kern w:val="0"/>
          <w:szCs w:val="21"/>
        </w:rPr>
        <w:t>年</w:t>
      </w:r>
      <w:r>
        <w:rPr>
          <w:rFonts w:hint="eastAsia" w:ascii="宋体" w:hAnsi="宋体" w:eastAsia="宋体" w:cs="宋体"/>
          <w:kern w:val="0"/>
          <w:szCs w:val="21"/>
          <w:u w:val="single"/>
        </w:rPr>
        <w:t>   </w:t>
      </w:r>
      <w:r>
        <w:rPr>
          <w:rFonts w:hint="eastAsia" w:ascii="宋体" w:hAnsi="宋体" w:eastAsia="宋体" w:cs="宋体"/>
          <w:kern w:val="0"/>
          <w:szCs w:val="21"/>
        </w:rPr>
        <w:t>月</w:t>
      </w:r>
      <w:r>
        <w:rPr>
          <w:rFonts w:hint="eastAsia" w:ascii="宋体" w:hAnsi="宋体" w:eastAsia="宋体" w:cs="宋体"/>
          <w:kern w:val="0"/>
          <w:szCs w:val="21"/>
          <w:u w:val="single"/>
        </w:rPr>
        <w:t>   </w:t>
      </w:r>
      <w:r>
        <w:rPr>
          <w:rFonts w:hint="eastAsia" w:ascii="宋体" w:hAnsi="宋体" w:eastAsia="宋体" w:cs="宋体"/>
          <w:kern w:val="0"/>
          <w:szCs w:val="21"/>
        </w:rPr>
        <w:t>日</w:t>
      </w:r>
    </w:p>
    <w:p w14:paraId="36556F70">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14:paraId="1C4B5765">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14:paraId="4377FB3D">
      <w:pPr>
        <w:widowControl/>
        <w:spacing w:after="150"/>
        <w:jc w:val="center"/>
        <w:rPr>
          <w:rFonts w:ascii="宋体" w:hAnsi="宋体" w:eastAsia="宋体" w:cs="宋体"/>
          <w:kern w:val="0"/>
          <w:sz w:val="24"/>
          <w:szCs w:val="24"/>
        </w:rPr>
      </w:pPr>
      <w:r>
        <w:rPr>
          <w:rFonts w:ascii="Calibri" w:hAnsi="Calibri" w:eastAsia="宋体" w:cs="Calibri"/>
          <w:b/>
          <w:bCs/>
          <w:kern w:val="0"/>
          <w:szCs w:val="21"/>
        </w:rPr>
        <w:br w:type="textWrapping"/>
      </w:r>
      <w:r>
        <w:rPr>
          <w:rFonts w:hint="eastAsia" w:ascii="宋体" w:hAnsi="宋体" w:eastAsia="宋体" w:cs="宋体"/>
          <w:b/>
          <w:bCs/>
          <w:kern w:val="0"/>
          <w:szCs w:val="21"/>
        </w:rPr>
        <w:t>二、投标分项报价表</w:t>
      </w:r>
    </w:p>
    <w:p w14:paraId="7C1C0618">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14:paraId="6FF92E5B">
      <w:pPr>
        <w:widowControl/>
        <w:spacing w:after="150"/>
        <w:jc w:val="left"/>
        <w:rPr>
          <w:rFonts w:ascii="宋体" w:hAnsi="宋体" w:eastAsia="宋体" w:cs="宋体"/>
          <w:kern w:val="0"/>
          <w:sz w:val="24"/>
          <w:szCs w:val="24"/>
        </w:rPr>
      </w:pPr>
      <w:r>
        <w:rPr>
          <w:rFonts w:hint="eastAsia" w:ascii="宋体" w:hAnsi="宋体" w:eastAsia="宋体" w:cs="宋体"/>
          <w:kern w:val="0"/>
          <w:szCs w:val="21"/>
        </w:rPr>
        <w:t>项目编号：</w:t>
      </w:r>
      <w:r>
        <w:rPr>
          <w:rFonts w:hint="eastAsia" w:ascii="宋体" w:hAnsi="宋体" w:eastAsia="宋体" w:cs="宋体"/>
          <w:kern w:val="0"/>
          <w:szCs w:val="21"/>
          <w:u w:val="single"/>
        </w:rPr>
        <w:t>                   </w:t>
      </w:r>
    </w:p>
    <w:p w14:paraId="2BC3E32C">
      <w:pPr>
        <w:widowControl/>
        <w:spacing w:after="150"/>
        <w:jc w:val="right"/>
        <w:rPr>
          <w:rFonts w:ascii="宋体" w:hAnsi="宋体" w:eastAsia="宋体" w:cs="宋体"/>
          <w:kern w:val="0"/>
          <w:sz w:val="24"/>
          <w:szCs w:val="24"/>
        </w:rPr>
      </w:pPr>
      <w:r>
        <w:rPr>
          <w:rFonts w:hint="eastAsia" w:ascii="宋体" w:hAnsi="宋体" w:eastAsia="宋体" w:cs="宋体"/>
          <w:kern w:val="0"/>
          <w:szCs w:val="21"/>
        </w:rPr>
        <w:t>货币及单位：人民币元</w:t>
      </w:r>
    </w:p>
    <w:tbl>
      <w:tblPr>
        <w:tblStyle w:val="9"/>
        <w:tblW w:w="8520" w:type="dxa"/>
        <w:tblInd w:w="0" w:type="dxa"/>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420"/>
        <w:gridCol w:w="958"/>
        <w:gridCol w:w="1556"/>
        <w:gridCol w:w="1272"/>
        <w:gridCol w:w="853"/>
        <w:gridCol w:w="989"/>
        <w:gridCol w:w="569"/>
        <w:gridCol w:w="1093"/>
        <w:gridCol w:w="810"/>
      </w:tblGrid>
      <w:tr w14:paraId="69424ED3">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42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94ECF2C">
            <w:pPr>
              <w:widowControl/>
              <w:spacing w:after="150"/>
              <w:jc w:val="center"/>
              <w:rPr>
                <w:rFonts w:ascii="宋体" w:hAnsi="宋体" w:eastAsia="宋体" w:cs="宋体"/>
                <w:kern w:val="0"/>
                <w:sz w:val="24"/>
                <w:szCs w:val="24"/>
              </w:rPr>
            </w:pPr>
            <w:r>
              <w:rPr>
                <w:rFonts w:hint="eastAsia" w:ascii="宋体" w:hAnsi="宋体" w:eastAsia="宋体" w:cs="宋体"/>
                <w:kern w:val="0"/>
                <w:szCs w:val="21"/>
              </w:rPr>
              <w:t>采购包</w:t>
            </w:r>
          </w:p>
        </w:tc>
        <w:tc>
          <w:tcPr>
            <w:tcW w:w="96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0D49EA1">
            <w:pPr>
              <w:widowControl/>
              <w:spacing w:after="150"/>
              <w:jc w:val="center"/>
              <w:rPr>
                <w:rFonts w:ascii="宋体" w:hAnsi="宋体" w:eastAsia="宋体" w:cs="宋体"/>
                <w:kern w:val="0"/>
                <w:sz w:val="24"/>
                <w:szCs w:val="24"/>
              </w:rPr>
            </w:pPr>
            <w:r>
              <w:rPr>
                <w:rFonts w:hint="eastAsia" w:ascii="宋体" w:hAnsi="宋体" w:eastAsia="宋体" w:cs="宋体"/>
                <w:kern w:val="0"/>
                <w:szCs w:val="21"/>
              </w:rPr>
              <w:t>品目号</w:t>
            </w:r>
          </w:p>
        </w:tc>
        <w:tc>
          <w:tcPr>
            <w:tcW w:w="156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E9ADA05">
            <w:pPr>
              <w:widowControl/>
              <w:spacing w:after="150"/>
              <w:jc w:val="center"/>
              <w:rPr>
                <w:rFonts w:ascii="宋体" w:hAnsi="宋体" w:eastAsia="宋体" w:cs="宋体"/>
                <w:kern w:val="0"/>
                <w:sz w:val="24"/>
                <w:szCs w:val="24"/>
              </w:rPr>
            </w:pPr>
            <w:r>
              <w:rPr>
                <w:rFonts w:hint="eastAsia" w:ascii="宋体" w:hAnsi="宋体" w:eastAsia="宋体" w:cs="宋体"/>
                <w:kern w:val="0"/>
                <w:szCs w:val="21"/>
              </w:rPr>
              <w:t>投标标的</w:t>
            </w:r>
          </w:p>
        </w:tc>
        <w:tc>
          <w:tcPr>
            <w:tcW w:w="127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76A0B5B">
            <w:pPr>
              <w:widowControl/>
              <w:spacing w:after="150"/>
              <w:jc w:val="center"/>
              <w:rPr>
                <w:rFonts w:ascii="宋体" w:hAnsi="宋体" w:eastAsia="宋体" w:cs="宋体"/>
                <w:kern w:val="0"/>
                <w:sz w:val="24"/>
                <w:szCs w:val="24"/>
              </w:rPr>
            </w:pPr>
            <w:r>
              <w:rPr>
                <w:rFonts w:hint="eastAsia" w:ascii="宋体" w:hAnsi="宋体" w:eastAsia="宋体" w:cs="宋体"/>
                <w:kern w:val="0"/>
                <w:szCs w:val="21"/>
              </w:rPr>
              <w:t>规格</w:t>
            </w:r>
          </w:p>
        </w:tc>
        <w:tc>
          <w:tcPr>
            <w:tcW w:w="85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E3AFD5A">
            <w:pPr>
              <w:widowControl/>
              <w:spacing w:after="150"/>
              <w:jc w:val="center"/>
              <w:rPr>
                <w:rFonts w:ascii="宋体" w:hAnsi="宋体" w:eastAsia="宋体" w:cs="宋体"/>
                <w:kern w:val="0"/>
                <w:sz w:val="24"/>
                <w:szCs w:val="24"/>
              </w:rPr>
            </w:pPr>
            <w:r>
              <w:rPr>
                <w:rFonts w:hint="eastAsia" w:ascii="宋体" w:hAnsi="宋体" w:eastAsia="宋体" w:cs="宋体"/>
                <w:kern w:val="0"/>
                <w:szCs w:val="21"/>
              </w:rPr>
              <w:t>来源地</w:t>
            </w:r>
          </w:p>
        </w:tc>
        <w:tc>
          <w:tcPr>
            <w:tcW w:w="99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87874B1">
            <w:pPr>
              <w:widowControl/>
              <w:spacing w:after="150"/>
              <w:jc w:val="center"/>
              <w:rPr>
                <w:rFonts w:ascii="宋体" w:hAnsi="宋体" w:eastAsia="宋体" w:cs="宋体"/>
                <w:kern w:val="0"/>
                <w:sz w:val="24"/>
                <w:szCs w:val="24"/>
              </w:rPr>
            </w:pPr>
            <w:r>
              <w:rPr>
                <w:rFonts w:hint="eastAsia" w:ascii="宋体" w:hAnsi="宋体" w:eastAsia="宋体" w:cs="宋体"/>
                <w:kern w:val="0"/>
                <w:szCs w:val="21"/>
              </w:rPr>
              <w:t>单价</w:t>
            </w:r>
          </w:p>
          <w:p w14:paraId="03EB1EB8">
            <w:pPr>
              <w:widowControl/>
              <w:spacing w:after="150"/>
              <w:jc w:val="center"/>
              <w:rPr>
                <w:rFonts w:ascii="宋体" w:hAnsi="宋体" w:eastAsia="宋体" w:cs="宋体"/>
                <w:kern w:val="0"/>
                <w:sz w:val="24"/>
                <w:szCs w:val="24"/>
              </w:rPr>
            </w:pPr>
            <w:r>
              <w:rPr>
                <w:rFonts w:hint="eastAsia" w:ascii="宋体" w:hAnsi="宋体" w:eastAsia="宋体" w:cs="宋体"/>
                <w:kern w:val="0"/>
                <w:szCs w:val="21"/>
              </w:rPr>
              <w:t>（现场）</w:t>
            </w:r>
          </w:p>
        </w:tc>
        <w:tc>
          <w:tcPr>
            <w:tcW w:w="57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114333F">
            <w:pPr>
              <w:widowControl/>
              <w:spacing w:after="150"/>
              <w:jc w:val="center"/>
              <w:rPr>
                <w:rFonts w:ascii="宋体" w:hAnsi="宋体" w:eastAsia="宋体" w:cs="宋体"/>
                <w:kern w:val="0"/>
                <w:sz w:val="24"/>
                <w:szCs w:val="24"/>
              </w:rPr>
            </w:pPr>
            <w:r>
              <w:rPr>
                <w:rFonts w:hint="eastAsia" w:ascii="宋体" w:hAnsi="宋体" w:eastAsia="宋体" w:cs="宋体"/>
                <w:kern w:val="0"/>
                <w:szCs w:val="21"/>
              </w:rPr>
              <w:t>数量</w:t>
            </w:r>
          </w:p>
        </w:tc>
        <w:tc>
          <w:tcPr>
            <w:tcW w:w="109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F2B9B74">
            <w:pPr>
              <w:widowControl/>
              <w:spacing w:after="150"/>
              <w:jc w:val="center"/>
              <w:rPr>
                <w:rFonts w:ascii="宋体" w:hAnsi="宋体" w:eastAsia="宋体" w:cs="宋体"/>
                <w:kern w:val="0"/>
                <w:sz w:val="24"/>
                <w:szCs w:val="24"/>
              </w:rPr>
            </w:pPr>
            <w:r>
              <w:rPr>
                <w:rFonts w:hint="eastAsia" w:ascii="宋体" w:hAnsi="宋体" w:eastAsia="宋体" w:cs="宋体"/>
                <w:kern w:val="0"/>
                <w:szCs w:val="21"/>
              </w:rPr>
              <w:t>总价</w:t>
            </w:r>
          </w:p>
          <w:p w14:paraId="38697CD9">
            <w:pPr>
              <w:widowControl/>
              <w:spacing w:after="150"/>
              <w:jc w:val="center"/>
              <w:rPr>
                <w:rFonts w:ascii="宋体" w:hAnsi="宋体" w:eastAsia="宋体" w:cs="宋体"/>
                <w:kern w:val="0"/>
                <w:sz w:val="24"/>
                <w:szCs w:val="24"/>
              </w:rPr>
            </w:pPr>
            <w:r>
              <w:rPr>
                <w:rFonts w:hint="eastAsia" w:ascii="宋体" w:hAnsi="宋体" w:eastAsia="宋体" w:cs="宋体"/>
                <w:kern w:val="0"/>
                <w:szCs w:val="21"/>
              </w:rPr>
              <w:t>（现场）</w:t>
            </w:r>
          </w:p>
        </w:tc>
        <w:tc>
          <w:tcPr>
            <w:tcW w:w="81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9858903">
            <w:pPr>
              <w:widowControl/>
              <w:spacing w:after="150"/>
              <w:jc w:val="center"/>
              <w:rPr>
                <w:rFonts w:ascii="宋体" w:hAnsi="宋体" w:eastAsia="宋体" w:cs="宋体"/>
                <w:kern w:val="0"/>
                <w:sz w:val="24"/>
                <w:szCs w:val="24"/>
              </w:rPr>
            </w:pPr>
            <w:r>
              <w:rPr>
                <w:rFonts w:hint="eastAsia" w:ascii="宋体" w:hAnsi="宋体" w:eastAsia="宋体" w:cs="宋体"/>
                <w:kern w:val="0"/>
                <w:szCs w:val="21"/>
              </w:rPr>
              <w:t>备注</w:t>
            </w:r>
          </w:p>
        </w:tc>
      </w:tr>
      <w:tr w14:paraId="1A4FD932">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420"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58EA887">
            <w:pPr>
              <w:widowControl/>
              <w:spacing w:after="150"/>
              <w:jc w:val="center"/>
              <w:rPr>
                <w:rFonts w:ascii="宋体" w:hAnsi="宋体" w:eastAsia="宋体" w:cs="宋体"/>
                <w:kern w:val="0"/>
                <w:sz w:val="24"/>
                <w:szCs w:val="24"/>
              </w:rPr>
            </w:pPr>
            <w:r>
              <w:rPr>
                <w:rFonts w:hint="eastAsia" w:ascii="宋体" w:hAnsi="宋体" w:eastAsia="宋体" w:cs="宋体"/>
                <w:kern w:val="0"/>
                <w:szCs w:val="21"/>
              </w:rPr>
              <w:t>*</w:t>
            </w:r>
          </w:p>
        </w:tc>
        <w:tc>
          <w:tcPr>
            <w:tcW w:w="96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6E0D5DD">
            <w:pPr>
              <w:widowControl/>
              <w:spacing w:after="150"/>
              <w:jc w:val="center"/>
              <w:rPr>
                <w:rFonts w:ascii="宋体" w:hAnsi="宋体" w:eastAsia="宋体" w:cs="宋体"/>
                <w:kern w:val="0"/>
                <w:sz w:val="24"/>
                <w:szCs w:val="24"/>
              </w:rPr>
            </w:pPr>
            <w:r>
              <w:rPr>
                <w:rFonts w:hint="eastAsia" w:ascii="宋体" w:hAnsi="宋体" w:eastAsia="宋体" w:cs="宋体"/>
                <w:kern w:val="0"/>
                <w:szCs w:val="21"/>
              </w:rPr>
              <w:t>*-1</w:t>
            </w:r>
          </w:p>
        </w:tc>
        <w:tc>
          <w:tcPr>
            <w:tcW w:w="156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7E9C2764">
            <w:pPr>
              <w:widowControl/>
              <w:jc w:val="left"/>
              <w:rPr>
                <w:rFonts w:ascii="宋体" w:hAnsi="宋体" w:eastAsia="宋体" w:cs="宋体"/>
                <w:kern w:val="0"/>
                <w:sz w:val="24"/>
                <w:szCs w:val="24"/>
              </w:rPr>
            </w:pPr>
          </w:p>
        </w:tc>
        <w:tc>
          <w:tcPr>
            <w:tcW w:w="127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708C1D0">
            <w:pPr>
              <w:widowControl/>
              <w:jc w:val="left"/>
              <w:rPr>
                <w:rFonts w:ascii="宋体" w:hAnsi="宋体" w:eastAsia="宋体" w:cs="宋体"/>
                <w:kern w:val="0"/>
                <w:sz w:val="24"/>
                <w:szCs w:val="24"/>
              </w:rPr>
            </w:pP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20201465">
            <w:pPr>
              <w:widowControl/>
              <w:jc w:val="left"/>
              <w:rPr>
                <w:rFonts w:ascii="宋体" w:hAnsi="宋体" w:eastAsia="宋体" w:cs="宋体"/>
                <w:kern w:val="0"/>
                <w:sz w:val="24"/>
                <w:szCs w:val="24"/>
              </w:rPr>
            </w:pPr>
          </w:p>
        </w:tc>
        <w:tc>
          <w:tcPr>
            <w:tcW w:w="9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3666968E">
            <w:pPr>
              <w:widowControl/>
              <w:jc w:val="left"/>
              <w:rPr>
                <w:rFonts w:ascii="宋体" w:hAnsi="宋体" w:eastAsia="宋体" w:cs="宋体"/>
                <w:kern w:val="0"/>
                <w:sz w:val="24"/>
                <w:szCs w:val="24"/>
              </w:rPr>
            </w:pPr>
          </w:p>
        </w:tc>
        <w:tc>
          <w:tcPr>
            <w:tcW w:w="5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3C5CA96A">
            <w:pPr>
              <w:widowControl/>
              <w:jc w:val="left"/>
              <w:rPr>
                <w:rFonts w:ascii="宋体" w:hAnsi="宋体" w:eastAsia="宋体" w:cs="宋体"/>
                <w:kern w:val="0"/>
                <w:sz w:val="24"/>
                <w:szCs w:val="24"/>
              </w:rPr>
            </w:pPr>
          </w:p>
        </w:tc>
        <w:tc>
          <w:tcPr>
            <w:tcW w:w="109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77902C55">
            <w:pPr>
              <w:widowControl/>
              <w:jc w:val="left"/>
              <w:rPr>
                <w:rFonts w:ascii="宋体" w:hAnsi="宋体" w:eastAsia="宋体" w:cs="宋体"/>
                <w:kern w:val="0"/>
                <w:sz w:val="24"/>
                <w:szCs w:val="24"/>
              </w:rPr>
            </w:pPr>
          </w:p>
        </w:tc>
        <w:tc>
          <w:tcPr>
            <w:tcW w:w="8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583F52BE">
            <w:pPr>
              <w:widowControl/>
              <w:jc w:val="left"/>
              <w:rPr>
                <w:rFonts w:ascii="宋体" w:hAnsi="宋体" w:eastAsia="宋体" w:cs="宋体"/>
                <w:kern w:val="0"/>
                <w:sz w:val="24"/>
                <w:szCs w:val="24"/>
              </w:rPr>
            </w:pPr>
          </w:p>
        </w:tc>
      </w:tr>
      <w:tr w14:paraId="5B901E02">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0" w:type="auto"/>
            <w:vMerge w:val="continue"/>
            <w:tcBorders>
              <w:top w:val="nil"/>
              <w:left w:val="single" w:color="auto" w:sz="6" w:space="0"/>
              <w:bottom w:val="single" w:color="auto" w:sz="6" w:space="0"/>
              <w:right w:val="single" w:color="auto" w:sz="6" w:space="0"/>
            </w:tcBorders>
            <w:shd w:val="clear" w:color="auto" w:fill="auto"/>
            <w:vAlign w:val="center"/>
          </w:tcPr>
          <w:p w14:paraId="0CDFEFDE">
            <w:pPr>
              <w:widowControl/>
              <w:jc w:val="left"/>
              <w:rPr>
                <w:rFonts w:ascii="宋体" w:hAnsi="宋体" w:eastAsia="宋体" w:cs="宋体"/>
                <w:kern w:val="0"/>
                <w:sz w:val="24"/>
                <w:szCs w:val="24"/>
              </w:rPr>
            </w:pPr>
          </w:p>
        </w:tc>
        <w:tc>
          <w:tcPr>
            <w:tcW w:w="96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AC4CADC">
            <w:pPr>
              <w:widowControl/>
              <w:jc w:val="left"/>
              <w:rPr>
                <w:rFonts w:ascii="宋体" w:hAnsi="宋体" w:eastAsia="宋体" w:cs="宋体"/>
                <w:kern w:val="0"/>
                <w:sz w:val="24"/>
                <w:szCs w:val="24"/>
              </w:rPr>
            </w:pPr>
          </w:p>
        </w:tc>
        <w:tc>
          <w:tcPr>
            <w:tcW w:w="156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6BC88C35">
            <w:pPr>
              <w:widowControl/>
              <w:jc w:val="left"/>
              <w:rPr>
                <w:rFonts w:ascii="宋体" w:hAnsi="宋体" w:eastAsia="宋体" w:cs="宋体"/>
                <w:kern w:val="0"/>
                <w:sz w:val="24"/>
                <w:szCs w:val="24"/>
              </w:rPr>
            </w:pPr>
          </w:p>
        </w:tc>
        <w:tc>
          <w:tcPr>
            <w:tcW w:w="127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C69B693">
            <w:pPr>
              <w:widowControl/>
              <w:jc w:val="left"/>
              <w:rPr>
                <w:rFonts w:ascii="宋体" w:hAnsi="宋体" w:eastAsia="宋体" w:cs="宋体"/>
                <w:kern w:val="0"/>
                <w:sz w:val="24"/>
                <w:szCs w:val="24"/>
              </w:rPr>
            </w:pP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39F0CF90">
            <w:pPr>
              <w:widowControl/>
              <w:jc w:val="left"/>
              <w:rPr>
                <w:rFonts w:ascii="宋体" w:hAnsi="宋体" w:eastAsia="宋体" w:cs="宋体"/>
                <w:kern w:val="0"/>
                <w:sz w:val="24"/>
                <w:szCs w:val="24"/>
              </w:rPr>
            </w:pPr>
          </w:p>
        </w:tc>
        <w:tc>
          <w:tcPr>
            <w:tcW w:w="9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38577C64">
            <w:pPr>
              <w:widowControl/>
              <w:jc w:val="left"/>
              <w:rPr>
                <w:rFonts w:ascii="宋体" w:hAnsi="宋体" w:eastAsia="宋体" w:cs="宋体"/>
                <w:kern w:val="0"/>
                <w:sz w:val="24"/>
                <w:szCs w:val="24"/>
              </w:rPr>
            </w:pPr>
          </w:p>
        </w:tc>
        <w:tc>
          <w:tcPr>
            <w:tcW w:w="5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187AC2C1">
            <w:pPr>
              <w:widowControl/>
              <w:jc w:val="left"/>
              <w:rPr>
                <w:rFonts w:ascii="宋体" w:hAnsi="宋体" w:eastAsia="宋体" w:cs="宋体"/>
                <w:kern w:val="0"/>
                <w:sz w:val="24"/>
                <w:szCs w:val="24"/>
              </w:rPr>
            </w:pPr>
          </w:p>
        </w:tc>
        <w:tc>
          <w:tcPr>
            <w:tcW w:w="109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025D1406">
            <w:pPr>
              <w:widowControl/>
              <w:jc w:val="left"/>
              <w:rPr>
                <w:rFonts w:ascii="宋体" w:hAnsi="宋体" w:eastAsia="宋体" w:cs="宋体"/>
                <w:kern w:val="0"/>
                <w:sz w:val="24"/>
                <w:szCs w:val="24"/>
              </w:rPr>
            </w:pPr>
          </w:p>
        </w:tc>
        <w:tc>
          <w:tcPr>
            <w:tcW w:w="8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44A748A3">
            <w:pPr>
              <w:widowControl/>
              <w:jc w:val="left"/>
              <w:rPr>
                <w:rFonts w:ascii="宋体" w:hAnsi="宋体" w:eastAsia="宋体" w:cs="宋体"/>
                <w:kern w:val="0"/>
                <w:sz w:val="24"/>
                <w:szCs w:val="24"/>
              </w:rPr>
            </w:pPr>
          </w:p>
        </w:tc>
      </w:tr>
      <w:tr w14:paraId="7716ADDA">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42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D24C32C">
            <w:pPr>
              <w:widowControl/>
              <w:spacing w:after="150"/>
              <w:jc w:val="center"/>
              <w:rPr>
                <w:rFonts w:ascii="宋体" w:hAnsi="宋体" w:eastAsia="宋体" w:cs="宋体"/>
                <w:kern w:val="0"/>
                <w:sz w:val="24"/>
                <w:szCs w:val="24"/>
              </w:rPr>
            </w:pPr>
            <w:r>
              <w:rPr>
                <w:rFonts w:ascii="Calibri" w:hAnsi="Calibri" w:eastAsia="宋体" w:cs="Calibri"/>
                <w:kern w:val="0"/>
                <w:szCs w:val="21"/>
              </w:rPr>
              <w:t>…</w:t>
            </w:r>
          </w:p>
        </w:tc>
        <w:tc>
          <w:tcPr>
            <w:tcW w:w="96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D977FC0">
            <w:pPr>
              <w:widowControl/>
              <w:jc w:val="left"/>
              <w:rPr>
                <w:rFonts w:ascii="宋体" w:hAnsi="宋体" w:eastAsia="宋体" w:cs="宋体"/>
                <w:kern w:val="0"/>
                <w:sz w:val="24"/>
                <w:szCs w:val="24"/>
              </w:rPr>
            </w:pPr>
          </w:p>
        </w:tc>
        <w:tc>
          <w:tcPr>
            <w:tcW w:w="156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67634B0B">
            <w:pPr>
              <w:widowControl/>
              <w:jc w:val="left"/>
              <w:rPr>
                <w:rFonts w:ascii="宋体" w:hAnsi="宋体" w:eastAsia="宋体" w:cs="宋体"/>
                <w:kern w:val="0"/>
                <w:sz w:val="24"/>
                <w:szCs w:val="24"/>
              </w:rPr>
            </w:pPr>
          </w:p>
        </w:tc>
        <w:tc>
          <w:tcPr>
            <w:tcW w:w="127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54B6BC8">
            <w:pPr>
              <w:widowControl/>
              <w:jc w:val="left"/>
              <w:rPr>
                <w:rFonts w:ascii="宋体" w:hAnsi="宋体" w:eastAsia="宋体" w:cs="宋体"/>
                <w:kern w:val="0"/>
                <w:sz w:val="24"/>
                <w:szCs w:val="24"/>
              </w:rPr>
            </w:pP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2D787B45">
            <w:pPr>
              <w:widowControl/>
              <w:jc w:val="left"/>
              <w:rPr>
                <w:rFonts w:ascii="宋体" w:hAnsi="宋体" w:eastAsia="宋体" w:cs="宋体"/>
                <w:kern w:val="0"/>
                <w:sz w:val="24"/>
                <w:szCs w:val="24"/>
              </w:rPr>
            </w:pPr>
          </w:p>
        </w:tc>
        <w:tc>
          <w:tcPr>
            <w:tcW w:w="9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61AD6373">
            <w:pPr>
              <w:widowControl/>
              <w:jc w:val="left"/>
              <w:rPr>
                <w:rFonts w:ascii="宋体" w:hAnsi="宋体" w:eastAsia="宋体" w:cs="宋体"/>
                <w:kern w:val="0"/>
                <w:sz w:val="24"/>
                <w:szCs w:val="24"/>
              </w:rPr>
            </w:pPr>
          </w:p>
        </w:tc>
        <w:tc>
          <w:tcPr>
            <w:tcW w:w="5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040A2688">
            <w:pPr>
              <w:widowControl/>
              <w:jc w:val="left"/>
              <w:rPr>
                <w:rFonts w:ascii="宋体" w:hAnsi="宋体" w:eastAsia="宋体" w:cs="宋体"/>
                <w:kern w:val="0"/>
                <w:sz w:val="24"/>
                <w:szCs w:val="24"/>
              </w:rPr>
            </w:pPr>
          </w:p>
        </w:tc>
        <w:tc>
          <w:tcPr>
            <w:tcW w:w="109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67AED6B8">
            <w:pPr>
              <w:widowControl/>
              <w:jc w:val="left"/>
              <w:rPr>
                <w:rFonts w:ascii="宋体" w:hAnsi="宋体" w:eastAsia="宋体" w:cs="宋体"/>
                <w:kern w:val="0"/>
                <w:sz w:val="24"/>
                <w:szCs w:val="24"/>
              </w:rPr>
            </w:pPr>
          </w:p>
        </w:tc>
        <w:tc>
          <w:tcPr>
            <w:tcW w:w="8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25268333">
            <w:pPr>
              <w:widowControl/>
              <w:jc w:val="left"/>
              <w:rPr>
                <w:rFonts w:ascii="宋体" w:hAnsi="宋体" w:eastAsia="宋体" w:cs="宋体"/>
                <w:kern w:val="0"/>
                <w:sz w:val="24"/>
                <w:szCs w:val="24"/>
              </w:rPr>
            </w:pPr>
          </w:p>
        </w:tc>
      </w:tr>
    </w:tbl>
    <w:p w14:paraId="5AC63EE3">
      <w:pPr>
        <w:widowControl/>
        <w:spacing w:after="150"/>
        <w:jc w:val="left"/>
        <w:rPr>
          <w:rFonts w:ascii="宋体" w:hAnsi="宋体" w:eastAsia="宋体" w:cs="宋体"/>
          <w:kern w:val="0"/>
          <w:sz w:val="24"/>
          <w:szCs w:val="24"/>
        </w:rPr>
      </w:pPr>
      <w:r>
        <w:rPr>
          <w:rFonts w:hint="eastAsia" w:ascii="宋体" w:hAnsi="宋体" w:eastAsia="宋体" w:cs="宋体"/>
          <w:kern w:val="0"/>
          <w:szCs w:val="21"/>
        </w:rPr>
        <w:t>※注意：</w:t>
      </w:r>
    </w:p>
    <w:p w14:paraId="7E3BB904">
      <w:pPr>
        <w:widowControl/>
        <w:spacing w:after="150"/>
        <w:jc w:val="left"/>
        <w:rPr>
          <w:rFonts w:ascii="宋体" w:hAnsi="宋体" w:eastAsia="宋体" w:cs="宋体"/>
          <w:kern w:val="0"/>
          <w:sz w:val="24"/>
          <w:szCs w:val="24"/>
        </w:rPr>
      </w:pPr>
      <w:r>
        <w:rPr>
          <w:rFonts w:hint="eastAsia" w:ascii="宋体" w:hAnsi="宋体" w:eastAsia="宋体" w:cs="宋体"/>
          <w:kern w:val="0"/>
          <w:szCs w:val="21"/>
        </w:rPr>
        <w:t>1、本表应按照下列规定填写：</w:t>
      </w:r>
    </w:p>
    <w:p w14:paraId="1A464070">
      <w:pPr>
        <w:widowControl/>
        <w:spacing w:after="150"/>
        <w:jc w:val="left"/>
        <w:rPr>
          <w:rFonts w:ascii="宋体" w:hAnsi="宋体" w:eastAsia="宋体" w:cs="宋体"/>
          <w:kern w:val="0"/>
          <w:sz w:val="24"/>
          <w:szCs w:val="24"/>
        </w:rPr>
      </w:pPr>
      <w:r>
        <w:rPr>
          <w:rFonts w:hint="eastAsia" w:ascii="宋体" w:hAnsi="宋体" w:eastAsia="宋体" w:cs="宋体"/>
          <w:kern w:val="0"/>
          <w:szCs w:val="21"/>
        </w:rPr>
        <w:t>1.1投标人应按照本表格式填写所投采购包的分项报价，其中：“采购包”、“品目号”、“投标标的”及“数量”应与招标文件《采购标的一览表》中的有关内容（“采购包”、“品目号”、“采购标的”及“数量”）保持一致，“采购包”还应与《开标一览表》中列示的“采购包”保持一致，即：若《开标一览表》中列示的“采购包”为“</w:t>
      </w:r>
      <w:r>
        <w:rPr>
          <w:rFonts w:ascii="Calibri" w:hAnsi="Calibri" w:eastAsia="宋体" w:cs="Calibri"/>
          <w:kern w:val="0"/>
          <w:szCs w:val="21"/>
        </w:rPr>
        <w:t>1</w:t>
      </w:r>
      <w:r>
        <w:rPr>
          <w:rFonts w:hint="eastAsia" w:ascii="宋体" w:hAnsi="宋体" w:eastAsia="宋体" w:cs="宋体"/>
          <w:kern w:val="0"/>
          <w:szCs w:val="21"/>
        </w:rPr>
        <w:t>”时，本表中列示的“采购包”亦应为“</w:t>
      </w:r>
      <w:r>
        <w:rPr>
          <w:rFonts w:ascii="Calibri" w:hAnsi="Calibri" w:eastAsia="宋体" w:cs="Calibri"/>
          <w:kern w:val="0"/>
          <w:szCs w:val="21"/>
        </w:rPr>
        <w:t>1</w:t>
      </w:r>
      <w:r>
        <w:rPr>
          <w:rFonts w:hint="eastAsia" w:ascii="宋体" w:hAnsi="宋体" w:eastAsia="宋体" w:cs="宋体"/>
          <w:kern w:val="0"/>
          <w:szCs w:val="21"/>
        </w:rPr>
        <w:t>”，以此类推。</w:t>
      </w:r>
    </w:p>
    <w:p w14:paraId="12BA81B7">
      <w:pPr>
        <w:widowControl/>
        <w:spacing w:after="150"/>
        <w:jc w:val="left"/>
        <w:rPr>
          <w:rFonts w:ascii="宋体" w:hAnsi="宋体" w:eastAsia="宋体" w:cs="宋体"/>
          <w:kern w:val="0"/>
          <w:sz w:val="24"/>
          <w:szCs w:val="24"/>
        </w:rPr>
      </w:pPr>
      <w:r>
        <w:rPr>
          <w:rFonts w:hint="eastAsia" w:ascii="宋体" w:hAnsi="宋体" w:eastAsia="宋体" w:cs="宋体"/>
          <w:kern w:val="0"/>
          <w:szCs w:val="21"/>
        </w:rPr>
        <w:t>1.2“投标标的”为货物的：</w:t>
      </w:r>
      <w:r>
        <w:rPr>
          <w:rFonts w:hint="eastAsia" w:ascii="宋体" w:hAnsi="宋体" w:eastAsia="宋体" w:cs="宋体"/>
          <w:b/>
          <w:bCs/>
          <w:kern w:val="0"/>
          <w:szCs w:val="21"/>
        </w:rPr>
        <w:t>“规格”</w:t>
      </w:r>
      <w:r>
        <w:rPr>
          <w:rFonts w:hint="eastAsia" w:ascii="宋体" w:hAnsi="宋体" w:eastAsia="宋体" w:cs="宋体"/>
          <w:kern w:val="0"/>
          <w:szCs w:val="21"/>
        </w:rPr>
        <w:t>项下应填写货物制造厂商赋予的品牌（属于节能、环保清单产品的货物，填写的品牌名称应与清单载明的品牌名称保持一致）及具体型号。</w:t>
      </w:r>
      <w:r>
        <w:rPr>
          <w:rFonts w:hint="eastAsia" w:ascii="宋体" w:hAnsi="宋体" w:eastAsia="宋体" w:cs="宋体"/>
          <w:b/>
          <w:bCs/>
          <w:kern w:val="0"/>
          <w:szCs w:val="21"/>
        </w:rPr>
        <w:t>“来源地”</w:t>
      </w:r>
      <w:r>
        <w:rPr>
          <w:rFonts w:hint="eastAsia" w:ascii="宋体" w:hAnsi="宋体" w:eastAsia="宋体" w:cs="宋体"/>
          <w:kern w:val="0"/>
          <w:szCs w:val="21"/>
        </w:rPr>
        <w:t>应填写货物的原产地。</w:t>
      </w:r>
    </w:p>
    <w:p w14:paraId="7F2DE99D">
      <w:pPr>
        <w:widowControl/>
        <w:spacing w:after="150"/>
        <w:jc w:val="left"/>
        <w:rPr>
          <w:rFonts w:ascii="宋体" w:hAnsi="宋体" w:eastAsia="宋体" w:cs="宋体"/>
          <w:kern w:val="0"/>
          <w:sz w:val="24"/>
          <w:szCs w:val="24"/>
        </w:rPr>
      </w:pPr>
      <w:r>
        <w:rPr>
          <w:rFonts w:hint="eastAsia" w:ascii="宋体" w:hAnsi="宋体" w:eastAsia="宋体" w:cs="宋体"/>
          <w:kern w:val="0"/>
          <w:szCs w:val="21"/>
        </w:rPr>
        <w:t>1.3“投标标的”为服务的：</w:t>
      </w:r>
      <w:r>
        <w:rPr>
          <w:rFonts w:hint="eastAsia" w:ascii="宋体" w:hAnsi="宋体" w:eastAsia="宋体" w:cs="宋体"/>
          <w:b/>
          <w:bCs/>
          <w:kern w:val="0"/>
          <w:szCs w:val="21"/>
        </w:rPr>
        <w:t>“规格”</w:t>
      </w:r>
      <w:r>
        <w:rPr>
          <w:rFonts w:hint="eastAsia" w:ascii="宋体" w:hAnsi="宋体" w:eastAsia="宋体" w:cs="宋体"/>
          <w:kern w:val="0"/>
          <w:szCs w:val="21"/>
        </w:rPr>
        <w:t>项下应填写服务提供者提供的服务标准及品牌（若有）。</w:t>
      </w:r>
      <w:r>
        <w:rPr>
          <w:rFonts w:hint="eastAsia" w:ascii="宋体" w:hAnsi="宋体" w:eastAsia="宋体" w:cs="宋体"/>
          <w:b/>
          <w:bCs/>
          <w:kern w:val="0"/>
          <w:szCs w:val="21"/>
        </w:rPr>
        <w:t>“来源地”</w:t>
      </w:r>
      <w:r>
        <w:rPr>
          <w:rFonts w:hint="eastAsia" w:ascii="宋体" w:hAnsi="宋体" w:eastAsia="宋体" w:cs="宋体"/>
          <w:kern w:val="0"/>
          <w:szCs w:val="21"/>
        </w:rPr>
        <w:t>应填写服务提供者的所在地。</w:t>
      </w:r>
    </w:p>
    <w:p w14:paraId="71EBC1EA">
      <w:pPr>
        <w:widowControl/>
        <w:spacing w:after="150"/>
        <w:jc w:val="left"/>
        <w:rPr>
          <w:rFonts w:ascii="宋体" w:hAnsi="宋体" w:eastAsia="宋体" w:cs="宋体"/>
          <w:kern w:val="0"/>
          <w:sz w:val="24"/>
          <w:szCs w:val="24"/>
        </w:rPr>
      </w:pPr>
      <w:r>
        <w:rPr>
          <w:rFonts w:hint="eastAsia" w:ascii="宋体" w:hAnsi="宋体" w:eastAsia="宋体" w:cs="宋体"/>
          <w:kern w:val="0"/>
          <w:szCs w:val="21"/>
        </w:rPr>
        <w:t>1.4同一采购包中，</w:t>
      </w:r>
      <w:r>
        <w:rPr>
          <w:rFonts w:hint="eastAsia" w:ascii="宋体" w:hAnsi="宋体" w:eastAsia="宋体" w:cs="宋体"/>
          <w:b/>
          <w:bCs/>
          <w:kern w:val="0"/>
          <w:szCs w:val="21"/>
        </w:rPr>
        <w:t>“单价（现场）”</w:t>
      </w:r>
      <w:r>
        <w:rPr>
          <w:rFonts w:hint="eastAsia" w:ascii="宋体" w:hAnsi="宋体" w:eastAsia="宋体" w:cs="宋体"/>
          <w:kern w:val="0"/>
          <w:szCs w:val="21"/>
        </w:rPr>
        <w:t>×</w:t>
      </w:r>
      <w:r>
        <w:rPr>
          <w:rFonts w:hint="eastAsia" w:ascii="宋体" w:hAnsi="宋体" w:eastAsia="宋体" w:cs="宋体"/>
          <w:b/>
          <w:bCs/>
          <w:kern w:val="0"/>
          <w:szCs w:val="21"/>
        </w:rPr>
        <w:t>“数量”</w:t>
      </w:r>
      <w:r>
        <w:rPr>
          <w:rFonts w:hint="eastAsia" w:ascii="宋体" w:hAnsi="宋体" w:eastAsia="宋体" w:cs="宋体"/>
          <w:kern w:val="0"/>
          <w:szCs w:val="21"/>
        </w:rPr>
        <w:t>=</w:t>
      </w:r>
      <w:r>
        <w:rPr>
          <w:rFonts w:hint="eastAsia" w:ascii="宋体" w:hAnsi="宋体" w:eastAsia="宋体" w:cs="宋体"/>
          <w:b/>
          <w:bCs/>
          <w:kern w:val="0"/>
          <w:szCs w:val="21"/>
        </w:rPr>
        <w:t>“总价（现场）”</w:t>
      </w:r>
      <w:r>
        <w:rPr>
          <w:rFonts w:hint="eastAsia" w:ascii="宋体" w:hAnsi="宋体" w:eastAsia="宋体" w:cs="宋体"/>
          <w:kern w:val="0"/>
          <w:szCs w:val="21"/>
        </w:rPr>
        <w:t>，全部品目号</w:t>
      </w:r>
      <w:r>
        <w:rPr>
          <w:rFonts w:hint="eastAsia" w:ascii="宋体" w:hAnsi="宋体" w:eastAsia="宋体" w:cs="宋体"/>
          <w:b/>
          <w:bCs/>
          <w:kern w:val="0"/>
          <w:szCs w:val="21"/>
        </w:rPr>
        <w:t>“总价（现场）”</w:t>
      </w:r>
      <w:r>
        <w:rPr>
          <w:rFonts w:hint="eastAsia" w:ascii="宋体" w:hAnsi="宋体" w:eastAsia="宋体" w:cs="宋体"/>
          <w:kern w:val="0"/>
          <w:szCs w:val="21"/>
        </w:rPr>
        <w:t>的合计金额应与《开标一览表》中相应采购包列示的</w:t>
      </w:r>
      <w:r>
        <w:rPr>
          <w:rFonts w:hint="eastAsia" w:ascii="宋体" w:hAnsi="宋体" w:eastAsia="宋体" w:cs="宋体"/>
          <w:b/>
          <w:bCs/>
          <w:kern w:val="0"/>
          <w:szCs w:val="21"/>
        </w:rPr>
        <w:t>“投标总价”</w:t>
      </w:r>
      <w:r>
        <w:rPr>
          <w:rFonts w:hint="eastAsia" w:ascii="宋体" w:hAnsi="宋体" w:eastAsia="宋体" w:cs="宋体"/>
          <w:kern w:val="0"/>
          <w:szCs w:val="21"/>
        </w:rPr>
        <w:t>保持一致。</w:t>
      </w:r>
    </w:p>
    <w:p w14:paraId="35EA3DBA">
      <w:pPr>
        <w:widowControl/>
        <w:spacing w:after="150"/>
        <w:jc w:val="left"/>
        <w:rPr>
          <w:rFonts w:ascii="宋体" w:hAnsi="宋体" w:eastAsia="宋体" w:cs="宋体"/>
          <w:kern w:val="0"/>
          <w:sz w:val="24"/>
          <w:szCs w:val="24"/>
        </w:rPr>
      </w:pPr>
      <w:r>
        <w:rPr>
          <w:rFonts w:hint="eastAsia" w:ascii="宋体" w:hAnsi="宋体" w:eastAsia="宋体" w:cs="宋体"/>
          <w:kern w:val="0"/>
          <w:szCs w:val="21"/>
        </w:rPr>
        <w:t>1.5若招标文件要求投标人对“备品备件价格、专用工具价格、技术服务费、安装调试费、检验培训费、运输费、保险费、税收”等进行报价的，请在本表的</w:t>
      </w:r>
      <w:r>
        <w:rPr>
          <w:rFonts w:hint="eastAsia" w:ascii="宋体" w:hAnsi="宋体" w:eastAsia="宋体" w:cs="宋体"/>
          <w:b/>
          <w:bCs/>
          <w:kern w:val="0"/>
          <w:szCs w:val="21"/>
        </w:rPr>
        <w:t>“备注”</w:t>
      </w:r>
      <w:r>
        <w:rPr>
          <w:rFonts w:hint="eastAsia" w:ascii="宋体" w:hAnsi="宋体" w:eastAsia="宋体" w:cs="宋体"/>
          <w:kern w:val="0"/>
          <w:szCs w:val="21"/>
        </w:rPr>
        <w:t>项下填写。</w:t>
      </w:r>
    </w:p>
    <w:p w14:paraId="7FD3C395">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14:paraId="0A8DCDAE">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14:paraId="3A5CC4E6">
      <w:pPr>
        <w:widowControl/>
        <w:spacing w:after="150"/>
        <w:jc w:val="left"/>
        <w:rPr>
          <w:rFonts w:ascii="宋体" w:hAnsi="宋体" w:eastAsia="宋体" w:cs="宋体"/>
          <w:kern w:val="0"/>
          <w:sz w:val="24"/>
          <w:szCs w:val="24"/>
        </w:rPr>
      </w:pPr>
      <w:r>
        <w:rPr>
          <w:rFonts w:hint="eastAsia" w:ascii="宋体" w:hAnsi="宋体" w:eastAsia="宋体" w:cs="宋体"/>
          <w:kern w:val="0"/>
          <w:szCs w:val="21"/>
        </w:rPr>
        <w:t>投标人：</w:t>
      </w:r>
      <w:r>
        <w:rPr>
          <w:rFonts w:hint="eastAsia" w:ascii="宋体" w:hAnsi="宋体" w:eastAsia="宋体" w:cs="宋体"/>
          <w:kern w:val="0"/>
          <w:szCs w:val="21"/>
          <w:u w:val="single"/>
        </w:rPr>
        <w:t>（全称并加盖单位公章）</w:t>
      </w:r>
    </w:p>
    <w:p w14:paraId="09B4ACC0">
      <w:pPr>
        <w:widowControl/>
        <w:spacing w:after="150"/>
        <w:jc w:val="left"/>
        <w:rPr>
          <w:rFonts w:ascii="宋体" w:hAnsi="宋体" w:eastAsia="宋体" w:cs="宋体"/>
          <w:kern w:val="0"/>
          <w:sz w:val="24"/>
          <w:szCs w:val="24"/>
        </w:rPr>
      </w:pPr>
      <w:r>
        <w:rPr>
          <w:rFonts w:hint="eastAsia" w:ascii="宋体" w:hAnsi="宋体" w:eastAsia="宋体" w:cs="宋体"/>
          <w:kern w:val="0"/>
          <w:szCs w:val="21"/>
        </w:rPr>
        <w:t>日期：</w:t>
      </w:r>
      <w:r>
        <w:rPr>
          <w:rFonts w:hint="eastAsia" w:ascii="宋体" w:hAnsi="宋体" w:eastAsia="宋体" w:cs="宋体"/>
          <w:kern w:val="0"/>
          <w:szCs w:val="21"/>
          <w:u w:val="single"/>
        </w:rPr>
        <w:t>    </w:t>
      </w:r>
      <w:r>
        <w:rPr>
          <w:rFonts w:hint="eastAsia" w:ascii="宋体" w:hAnsi="宋体" w:eastAsia="宋体" w:cs="宋体"/>
          <w:kern w:val="0"/>
          <w:szCs w:val="21"/>
        </w:rPr>
        <w:t>年</w:t>
      </w:r>
      <w:r>
        <w:rPr>
          <w:rFonts w:hint="eastAsia" w:ascii="宋体" w:hAnsi="宋体" w:eastAsia="宋体" w:cs="宋体"/>
          <w:kern w:val="0"/>
          <w:szCs w:val="21"/>
          <w:u w:val="single"/>
        </w:rPr>
        <w:t>   </w:t>
      </w:r>
      <w:r>
        <w:rPr>
          <w:rFonts w:hint="eastAsia" w:ascii="宋体" w:hAnsi="宋体" w:eastAsia="宋体" w:cs="宋体"/>
          <w:kern w:val="0"/>
          <w:szCs w:val="21"/>
        </w:rPr>
        <w:t>月</w:t>
      </w:r>
      <w:r>
        <w:rPr>
          <w:rFonts w:hint="eastAsia" w:ascii="宋体" w:hAnsi="宋体" w:eastAsia="宋体" w:cs="宋体"/>
          <w:kern w:val="0"/>
          <w:szCs w:val="21"/>
          <w:u w:val="single"/>
        </w:rPr>
        <w:t>   </w:t>
      </w:r>
      <w:r>
        <w:rPr>
          <w:rFonts w:hint="eastAsia" w:ascii="宋体" w:hAnsi="宋体" w:eastAsia="宋体" w:cs="宋体"/>
          <w:kern w:val="0"/>
          <w:szCs w:val="21"/>
        </w:rPr>
        <w:t>日</w:t>
      </w:r>
      <w:r>
        <w:rPr>
          <w:rFonts w:hint="eastAsia" w:ascii="宋体" w:hAnsi="宋体" w:eastAsia="宋体" w:cs="宋体"/>
          <w:kern w:val="0"/>
          <w:szCs w:val="21"/>
        </w:rPr>
        <w:br w:type="textWrapping"/>
      </w:r>
      <w:r>
        <w:rPr>
          <w:rFonts w:hint="eastAsia" w:ascii="宋体" w:hAnsi="宋体" w:eastAsia="宋体" w:cs="宋体"/>
          <w:kern w:val="0"/>
          <w:szCs w:val="21"/>
        </w:rPr>
        <w:br w:type="textWrapping"/>
      </w:r>
      <w:r>
        <w:rPr>
          <w:rFonts w:hint="eastAsia" w:ascii="宋体" w:hAnsi="宋体" w:eastAsia="宋体" w:cs="宋体"/>
          <w:kern w:val="0"/>
          <w:szCs w:val="21"/>
        </w:rPr>
        <w:br w:type="textWrapping"/>
      </w:r>
    </w:p>
    <w:p w14:paraId="4C752BBD">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14:paraId="6FF21BFC">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14:paraId="012F1558">
      <w:pPr>
        <w:widowControl/>
        <w:spacing w:after="150"/>
        <w:jc w:val="center"/>
        <w:rPr>
          <w:rFonts w:ascii="宋体" w:hAnsi="宋体" w:eastAsia="宋体" w:cs="宋体"/>
          <w:kern w:val="0"/>
          <w:sz w:val="24"/>
          <w:szCs w:val="24"/>
        </w:rPr>
      </w:pPr>
      <w:r>
        <w:rPr>
          <w:rFonts w:ascii="Calibri" w:hAnsi="Calibri" w:eastAsia="宋体" w:cs="Calibri"/>
          <w:kern w:val="0"/>
          <w:szCs w:val="21"/>
        </w:rPr>
        <w:br w:type="textWrapping"/>
      </w:r>
      <w:r>
        <w:rPr>
          <w:rFonts w:hint="eastAsia" w:ascii="宋体" w:hAnsi="宋体" w:eastAsia="宋体" w:cs="宋体"/>
          <w:b/>
          <w:bCs/>
          <w:kern w:val="0"/>
          <w:szCs w:val="21"/>
        </w:rPr>
        <w:t>三、招标文件规定的价格扣除证明材料（若有）</w:t>
      </w:r>
    </w:p>
    <w:p w14:paraId="7BE0FFCC">
      <w:pPr>
        <w:widowControl/>
        <w:spacing w:after="150"/>
        <w:jc w:val="center"/>
        <w:rPr>
          <w:rFonts w:ascii="宋体" w:hAnsi="宋体" w:eastAsia="宋体" w:cs="宋体"/>
          <w:kern w:val="0"/>
          <w:sz w:val="24"/>
          <w:szCs w:val="24"/>
        </w:rPr>
      </w:pPr>
      <w:r>
        <w:rPr>
          <w:rFonts w:hint="eastAsia" w:ascii="宋体" w:hAnsi="宋体" w:eastAsia="宋体" w:cs="宋体"/>
          <w:b/>
          <w:bCs/>
          <w:kern w:val="0"/>
          <w:szCs w:val="21"/>
        </w:rPr>
        <w:t> </w:t>
      </w:r>
    </w:p>
    <w:p w14:paraId="675937EF">
      <w:pPr>
        <w:widowControl/>
        <w:spacing w:after="150"/>
        <w:jc w:val="center"/>
        <w:rPr>
          <w:rFonts w:ascii="宋体" w:hAnsi="宋体" w:eastAsia="宋体" w:cs="宋体"/>
          <w:kern w:val="0"/>
          <w:sz w:val="24"/>
          <w:szCs w:val="24"/>
        </w:rPr>
      </w:pPr>
      <w:r>
        <w:rPr>
          <w:rFonts w:hint="eastAsia" w:ascii="宋体" w:hAnsi="宋体" w:eastAsia="宋体" w:cs="宋体"/>
          <w:b/>
          <w:bCs/>
          <w:kern w:val="0"/>
          <w:szCs w:val="21"/>
        </w:rPr>
        <w:t>三-1优先类节能产品、环境标志产品价格扣除证明材料（若有）</w:t>
      </w:r>
    </w:p>
    <w:p w14:paraId="0128A4F2">
      <w:pPr>
        <w:widowControl/>
        <w:spacing w:after="150"/>
        <w:jc w:val="center"/>
        <w:rPr>
          <w:rFonts w:ascii="宋体" w:hAnsi="宋体" w:eastAsia="宋体" w:cs="宋体"/>
          <w:kern w:val="0"/>
          <w:sz w:val="24"/>
          <w:szCs w:val="24"/>
        </w:rPr>
      </w:pPr>
      <w:r>
        <w:rPr>
          <w:rFonts w:hint="eastAsia" w:ascii="宋体" w:hAnsi="宋体" w:eastAsia="宋体" w:cs="宋体"/>
          <w:b/>
          <w:bCs/>
          <w:kern w:val="0"/>
          <w:szCs w:val="21"/>
        </w:rPr>
        <w:t> </w:t>
      </w:r>
    </w:p>
    <w:p w14:paraId="4E0C4944">
      <w:pPr>
        <w:widowControl/>
        <w:spacing w:after="150"/>
        <w:jc w:val="center"/>
        <w:rPr>
          <w:rFonts w:ascii="宋体" w:hAnsi="宋体" w:eastAsia="宋体" w:cs="宋体"/>
          <w:kern w:val="0"/>
          <w:sz w:val="24"/>
          <w:szCs w:val="24"/>
        </w:rPr>
      </w:pPr>
      <w:r>
        <w:rPr>
          <w:rFonts w:hint="eastAsia" w:ascii="宋体" w:hAnsi="宋体" w:eastAsia="宋体" w:cs="宋体"/>
          <w:b/>
          <w:bCs/>
          <w:kern w:val="0"/>
          <w:szCs w:val="21"/>
        </w:rPr>
        <w:t>三-1-①优先类节能产品、环境标志产品统计表（价格扣除适用，若有）</w:t>
      </w:r>
    </w:p>
    <w:p w14:paraId="1F8AEB2A">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14:paraId="39EA8B7D">
      <w:pPr>
        <w:widowControl/>
        <w:spacing w:after="150"/>
        <w:jc w:val="left"/>
        <w:rPr>
          <w:rFonts w:ascii="宋体" w:hAnsi="宋体" w:eastAsia="宋体" w:cs="宋体"/>
          <w:kern w:val="0"/>
          <w:sz w:val="24"/>
          <w:szCs w:val="24"/>
        </w:rPr>
      </w:pPr>
      <w:r>
        <w:rPr>
          <w:rFonts w:hint="eastAsia" w:ascii="宋体" w:hAnsi="宋体" w:eastAsia="宋体" w:cs="宋体"/>
          <w:kern w:val="0"/>
          <w:szCs w:val="21"/>
        </w:rPr>
        <w:t>项目编号：</w:t>
      </w:r>
      <w:r>
        <w:rPr>
          <w:rFonts w:hint="eastAsia" w:ascii="宋体" w:hAnsi="宋体" w:eastAsia="宋体" w:cs="宋体"/>
          <w:kern w:val="0"/>
          <w:szCs w:val="21"/>
          <w:u w:val="single"/>
        </w:rPr>
        <w:t>                   </w:t>
      </w:r>
    </w:p>
    <w:p w14:paraId="29B29CE9">
      <w:pPr>
        <w:widowControl/>
        <w:spacing w:after="150"/>
        <w:jc w:val="right"/>
        <w:rPr>
          <w:rFonts w:ascii="宋体" w:hAnsi="宋体" w:eastAsia="宋体" w:cs="宋体"/>
          <w:kern w:val="0"/>
          <w:sz w:val="24"/>
          <w:szCs w:val="24"/>
        </w:rPr>
      </w:pPr>
      <w:r>
        <w:rPr>
          <w:rFonts w:hint="eastAsia" w:ascii="宋体" w:hAnsi="宋体" w:eastAsia="宋体" w:cs="宋体"/>
          <w:kern w:val="0"/>
          <w:szCs w:val="21"/>
        </w:rPr>
        <w:t>货币及单位：人民币元</w:t>
      </w:r>
    </w:p>
    <w:tbl>
      <w:tblPr>
        <w:tblStyle w:val="9"/>
        <w:tblW w:w="8520" w:type="dxa"/>
        <w:tblInd w:w="0" w:type="dxa"/>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1215"/>
        <w:gridCol w:w="1215"/>
        <w:gridCol w:w="1215"/>
        <w:gridCol w:w="1215"/>
        <w:gridCol w:w="1215"/>
        <w:gridCol w:w="1215"/>
        <w:gridCol w:w="1230"/>
      </w:tblGrid>
      <w:tr w14:paraId="2648C50F">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121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932A28A">
            <w:pPr>
              <w:widowControl/>
              <w:jc w:val="left"/>
              <w:rPr>
                <w:rFonts w:ascii="宋体" w:hAnsi="宋体" w:eastAsia="宋体" w:cs="宋体"/>
                <w:kern w:val="0"/>
                <w:sz w:val="24"/>
                <w:szCs w:val="24"/>
              </w:rPr>
            </w:pPr>
          </w:p>
        </w:tc>
        <w:tc>
          <w:tcPr>
            <w:tcW w:w="7305" w:type="dxa"/>
            <w:gridSpan w:val="6"/>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6C5EB6B">
            <w:pPr>
              <w:widowControl/>
              <w:spacing w:after="150"/>
              <w:jc w:val="center"/>
              <w:rPr>
                <w:rFonts w:ascii="宋体" w:hAnsi="宋体" w:eastAsia="宋体" w:cs="宋体"/>
                <w:kern w:val="0"/>
                <w:sz w:val="24"/>
                <w:szCs w:val="24"/>
              </w:rPr>
            </w:pPr>
            <w:r>
              <w:rPr>
                <w:rFonts w:hint="eastAsia" w:ascii="宋体" w:hAnsi="宋体" w:eastAsia="宋体" w:cs="宋体"/>
                <w:kern w:val="0"/>
                <w:szCs w:val="21"/>
              </w:rPr>
              <w:t>本采购包内属于节能、环境标志产品的情况</w:t>
            </w:r>
          </w:p>
        </w:tc>
      </w:tr>
      <w:tr w14:paraId="06AC0900">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12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DFBC830">
            <w:pPr>
              <w:widowControl/>
              <w:spacing w:after="150"/>
              <w:jc w:val="center"/>
              <w:rPr>
                <w:rFonts w:ascii="宋体" w:hAnsi="宋体" w:eastAsia="宋体" w:cs="宋体"/>
                <w:kern w:val="0"/>
                <w:sz w:val="24"/>
                <w:szCs w:val="24"/>
              </w:rPr>
            </w:pPr>
            <w:r>
              <w:rPr>
                <w:rFonts w:hint="eastAsia" w:ascii="宋体" w:hAnsi="宋体" w:eastAsia="宋体" w:cs="宋体"/>
                <w:kern w:val="0"/>
                <w:szCs w:val="21"/>
              </w:rPr>
              <w:t>采购包</w:t>
            </w: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7828C7F">
            <w:pPr>
              <w:widowControl/>
              <w:spacing w:after="150"/>
              <w:jc w:val="center"/>
              <w:rPr>
                <w:rFonts w:ascii="宋体" w:hAnsi="宋体" w:eastAsia="宋体" w:cs="宋体"/>
                <w:kern w:val="0"/>
                <w:sz w:val="24"/>
                <w:szCs w:val="24"/>
              </w:rPr>
            </w:pPr>
            <w:r>
              <w:rPr>
                <w:rFonts w:hint="eastAsia" w:ascii="宋体" w:hAnsi="宋体" w:eastAsia="宋体" w:cs="宋体"/>
                <w:kern w:val="0"/>
                <w:szCs w:val="21"/>
              </w:rPr>
              <w:t>品目号</w:t>
            </w:r>
          </w:p>
        </w:tc>
        <w:tc>
          <w:tcPr>
            <w:tcW w:w="121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4A618F0">
            <w:pPr>
              <w:widowControl/>
              <w:spacing w:after="150"/>
              <w:jc w:val="center"/>
              <w:rPr>
                <w:rFonts w:ascii="宋体" w:hAnsi="宋体" w:eastAsia="宋体" w:cs="宋体"/>
                <w:kern w:val="0"/>
                <w:sz w:val="24"/>
                <w:szCs w:val="24"/>
              </w:rPr>
            </w:pPr>
            <w:r>
              <w:rPr>
                <w:rFonts w:hint="eastAsia" w:ascii="宋体" w:hAnsi="宋体" w:eastAsia="宋体" w:cs="宋体"/>
                <w:kern w:val="0"/>
                <w:szCs w:val="21"/>
              </w:rPr>
              <w:t>货物名称</w:t>
            </w:r>
          </w:p>
        </w:tc>
        <w:tc>
          <w:tcPr>
            <w:tcW w:w="121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F4CB647">
            <w:pPr>
              <w:widowControl/>
              <w:spacing w:after="150"/>
              <w:jc w:val="center"/>
              <w:rPr>
                <w:rFonts w:ascii="宋体" w:hAnsi="宋体" w:eastAsia="宋体" w:cs="宋体"/>
                <w:kern w:val="0"/>
                <w:sz w:val="24"/>
                <w:szCs w:val="24"/>
              </w:rPr>
            </w:pPr>
            <w:r>
              <w:rPr>
                <w:rFonts w:hint="eastAsia" w:ascii="宋体" w:hAnsi="宋体" w:eastAsia="宋体" w:cs="宋体"/>
                <w:kern w:val="0"/>
                <w:szCs w:val="21"/>
              </w:rPr>
              <w:t>单价</w:t>
            </w:r>
          </w:p>
          <w:p w14:paraId="4689E0B3">
            <w:pPr>
              <w:widowControl/>
              <w:spacing w:after="150"/>
              <w:jc w:val="center"/>
              <w:rPr>
                <w:rFonts w:ascii="宋体" w:hAnsi="宋体" w:eastAsia="宋体" w:cs="宋体"/>
                <w:kern w:val="0"/>
                <w:sz w:val="24"/>
                <w:szCs w:val="24"/>
              </w:rPr>
            </w:pPr>
            <w:r>
              <w:rPr>
                <w:rFonts w:hint="eastAsia" w:ascii="宋体" w:hAnsi="宋体" w:eastAsia="宋体" w:cs="宋体"/>
                <w:kern w:val="0"/>
                <w:szCs w:val="21"/>
              </w:rPr>
              <w:t>（现场）</w:t>
            </w:r>
          </w:p>
        </w:tc>
        <w:tc>
          <w:tcPr>
            <w:tcW w:w="121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9B425E1">
            <w:pPr>
              <w:widowControl/>
              <w:spacing w:after="150"/>
              <w:jc w:val="center"/>
              <w:rPr>
                <w:rFonts w:ascii="宋体" w:hAnsi="宋体" w:eastAsia="宋体" w:cs="宋体"/>
                <w:kern w:val="0"/>
                <w:sz w:val="24"/>
                <w:szCs w:val="24"/>
              </w:rPr>
            </w:pPr>
            <w:r>
              <w:rPr>
                <w:rFonts w:hint="eastAsia" w:ascii="宋体" w:hAnsi="宋体" w:eastAsia="宋体" w:cs="宋体"/>
                <w:kern w:val="0"/>
                <w:szCs w:val="21"/>
              </w:rPr>
              <w:t>数量</w:t>
            </w:r>
          </w:p>
        </w:tc>
        <w:tc>
          <w:tcPr>
            <w:tcW w:w="121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3B994D1">
            <w:pPr>
              <w:widowControl/>
              <w:spacing w:after="150"/>
              <w:jc w:val="center"/>
              <w:rPr>
                <w:rFonts w:ascii="宋体" w:hAnsi="宋体" w:eastAsia="宋体" w:cs="宋体"/>
                <w:kern w:val="0"/>
                <w:sz w:val="24"/>
                <w:szCs w:val="24"/>
              </w:rPr>
            </w:pPr>
            <w:r>
              <w:rPr>
                <w:rFonts w:hint="eastAsia" w:ascii="宋体" w:hAnsi="宋体" w:eastAsia="宋体" w:cs="宋体"/>
                <w:kern w:val="0"/>
                <w:szCs w:val="21"/>
              </w:rPr>
              <w:t>总价</w:t>
            </w:r>
          </w:p>
          <w:p w14:paraId="79FFDB6D">
            <w:pPr>
              <w:widowControl/>
              <w:spacing w:after="150"/>
              <w:jc w:val="center"/>
              <w:rPr>
                <w:rFonts w:ascii="宋体" w:hAnsi="宋体" w:eastAsia="宋体" w:cs="宋体"/>
                <w:kern w:val="0"/>
                <w:sz w:val="24"/>
                <w:szCs w:val="24"/>
              </w:rPr>
            </w:pPr>
            <w:r>
              <w:rPr>
                <w:rFonts w:hint="eastAsia" w:ascii="宋体" w:hAnsi="宋体" w:eastAsia="宋体" w:cs="宋体"/>
                <w:kern w:val="0"/>
                <w:szCs w:val="21"/>
              </w:rPr>
              <w:t>（现场）</w:t>
            </w:r>
          </w:p>
        </w:tc>
        <w:tc>
          <w:tcPr>
            <w:tcW w:w="121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B6A6095">
            <w:pPr>
              <w:widowControl/>
              <w:spacing w:after="150"/>
              <w:jc w:val="center"/>
              <w:rPr>
                <w:rFonts w:ascii="宋体" w:hAnsi="宋体" w:eastAsia="宋体" w:cs="宋体"/>
                <w:kern w:val="0"/>
                <w:sz w:val="24"/>
                <w:szCs w:val="24"/>
              </w:rPr>
            </w:pPr>
            <w:r>
              <w:rPr>
                <w:rFonts w:hint="eastAsia" w:ascii="宋体" w:hAnsi="宋体" w:eastAsia="宋体" w:cs="宋体"/>
                <w:kern w:val="0"/>
                <w:szCs w:val="21"/>
              </w:rPr>
              <w:t>认证种类</w:t>
            </w:r>
          </w:p>
        </w:tc>
      </w:tr>
      <w:tr w14:paraId="6A335538">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1215"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5E6F0F4">
            <w:pPr>
              <w:widowControl/>
              <w:spacing w:after="150"/>
              <w:jc w:val="center"/>
              <w:rPr>
                <w:rFonts w:ascii="宋体" w:hAnsi="宋体" w:eastAsia="宋体" w:cs="宋体"/>
                <w:kern w:val="0"/>
                <w:sz w:val="24"/>
                <w:szCs w:val="24"/>
              </w:rPr>
            </w:pPr>
            <w:r>
              <w:rPr>
                <w:rFonts w:hint="eastAsia" w:ascii="宋体" w:hAnsi="宋体" w:eastAsia="宋体" w:cs="宋体"/>
                <w:kern w:val="0"/>
                <w:szCs w:val="21"/>
              </w:rPr>
              <w:t>*</w:t>
            </w: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59A20E5">
            <w:pPr>
              <w:widowControl/>
              <w:spacing w:after="150"/>
              <w:jc w:val="center"/>
              <w:rPr>
                <w:rFonts w:ascii="宋体" w:hAnsi="宋体" w:eastAsia="宋体" w:cs="宋体"/>
                <w:kern w:val="0"/>
                <w:sz w:val="24"/>
                <w:szCs w:val="24"/>
              </w:rPr>
            </w:pPr>
            <w:r>
              <w:rPr>
                <w:rFonts w:hint="eastAsia" w:ascii="宋体" w:hAnsi="宋体" w:eastAsia="宋体" w:cs="宋体"/>
                <w:kern w:val="0"/>
                <w:szCs w:val="21"/>
              </w:rPr>
              <w:t>*-1</w:t>
            </w: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B5A03A9">
            <w:pPr>
              <w:widowControl/>
              <w:jc w:val="left"/>
              <w:rPr>
                <w:rFonts w:ascii="宋体" w:hAnsi="宋体" w:eastAsia="宋体" w:cs="宋体"/>
                <w:kern w:val="0"/>
                <w:sz w:val="24"/>
                <w:szCs w:val="24"/>
              </w:rPr>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66C8CF8">
            <w:pPr>
              <w:widowControl/>
              <w:jc w:val="left"/>
              <w:rPr>
                <w:rFonts w:ascii="宋体" w:hAnsi="宋体" w:eastAsia="宋体" w:cs="宋体"/>
                <w:kern w:val="0"/>
                <w:sz w:val="24"/>
                <w:szCs w:val="24"/>
              </w:rPr>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CFEB53F">
            <w:pPr>
              <w:widowControl/>
              <w:jc w:val="left"/>
              <w:rPr>
                <w:rFonts w:ascii="宋体" w:hAnsi="宋体" w:eastAsia="宋体" w:cs="宋体"/>
                <w:kern w:val="0"/>
                <w:sz w:val="24"/>
                <w:szCs w:val="24"/>
              </w:rPr>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78BBC41">
            <w:pPr>
              <w:widowControl/>
              <w:jc w:val="left"/>
              <w:rPr>
                <w:rFonts w:ascii="宋体" w:hAnsi="宋体" w:eastAsia="宋体" w:cs="宋体"/>
                <w:kern w:val="0"/>
                <w:sz w:val="24"/>
                <w:szCs w:val="24"/>
              </w:rPr>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3EE4B2C">
            <w:pPr>
              <w:widowControl/>
              <w:jc w:val="left"/>
              <w:rPr>
                <w:rFonts w:ascii="宋体" w:hAnsi="宋体" w:eastAsia="宋体" w:cs="宋体"/>
                <w:kern w:val="0"/>
                <w:sz w:val="24"/>
                <w:szCs w:val="24"/>
              </w:rPr>
            </w:pPr>
          </w:p>
        </w:tc>
      </w:tr>
      <w:tr w14:paraId="41B1A8AA">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0" w:type="auto"/>
            <w:vMerge w:val="continue"/>
            <w:tcBorders>
              <w:top w:val="nil"/>
              <w:left w:val="single" w:color="auto" w:sz="6" w:space="0"/>
              <w:bottom w:val="single" w:color="auto" w:sz="6" w:space="0"/>
              <w:right w:val="single" w:color="auto" w:sz="6" w:space="0"/>
            </w:tcBorders>
            <w:shd w:val="clear" w:color="auto" w:fill="auto"/>
            <w:vAlign w:val="center"/>
          </w:tcPr>
          <w:p w14:paraId="6FBCECF0">
            <w:pPr>
              <w:widowControl/>
              <w:jc w:val="left"/>
              <w:rPr>
                <w:rFonts w:ascii="宋体" w:hAnsi="宋体" w:eastAsia="宋体" w:cs="宋体"/>
                <w:kern w:val="0"/>
                <w:sz w:val="24"/>
                <w:szCs w:val="24"/>
              </w:rPr>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3CEEFB9">
            <w:pPr>
              <w:widowControl/>
              <w:spacing w:after="150"/>
              <w:jc w:val="center"/>
              <w:rPr>
                <w:rFonts w:ascii="宋体" w:hAnsi="宋体" w:eastAsia="宋体" w:cs="宋体"/>
                <w:kern w:val="0"/>
                <w:sz w:val="24"/>
                <w:szCs w:val="24"/>
              </w:rPr>
            </w:pPr>
            <w:r>
              <w:rPr>
                <w:rFonts w:ascii="Calibri" w:hAnsi="Calibri" w:eastAsia="宋体" w:cs="Calibri"/>
                <w:kern w:val="0"/>
                <w:szCs w:val="21"/>
              </w:rPr>
              <w:t>…</w:t>
            </w: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6CE418B">
            <w:pPr>
              <w:widowControl/>
              <w:jc w:val="left"/>
              <w:rPr>
                <w:rFonts w:ascii="宋体" w:hAnsi="宋体" w:eastAsia="宋体" w:cs="宋体"/>
                <w:kern w:val="0"/>
                <w:sz w:val="24"/>
                <w:szCs w:val="24"/>
              </w:rPr>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5476542">
            <w:pPr>
              <w:widowControl/>
              <w:jc w:val="left"/>
              <w:rPr>
                <w:rFonts w:ascii="宋体" w:hAnsi="宋体" w:eastAsia="宋体" w:cs="宋体"/>
                <w:kern w:val="0"/>
                <w:sz w:val="24"/>
                <w:szCs w:val="24"/>
              </w:rPr>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879E2DD">
            <w:pPr>
              <w:widowControl/>
              <w:jc w:val="left"/>
              <w:rPr>
                <w:rFonts w:ascii="宋体" w:hAnsi="宋体" w:eastAsia="宋体" w:cs="宋体"/>
                <w:kern w:val="0"/>
                <w:sz w:val="24"/>
                <w:szCs w:val="24"/>
              </w:rPr>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7FA4902">
            <w:pPr>
              <w:widowControl/>
              <w:jc w:val="left"/>
              <w:rPr>
                <w:rFonts w:ascii="宋体" w:hAnsi="宋体" w:eastAsia="宋体" w:cs="宋体"/>
                <w:kern w:val="0"/>
                <w:sz w:val="24"/>
                <w:szCs w:val="24"/>
              </w:rPr>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2E2587A">
            <w:pPr>
              <w:widowControl/>
              <w:jc w:val="left"/>
              <w:rPr>
                <w:rFonts w:ascii="宋体" w:hAnsi="宋体" w:eastAsia="宋体" w:cs="宋体"/>
                <w:kern w:val="0"/>
                <w:sz w:val="24"/>
                <w:szCs w:val="24"/>
              </w:rPr>
            </w:pPr>
          </w:p>
        </w:tc>
      </w:tr>
      <w:tr w14:paraId="76B1FDE9">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12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7880689">
            <w:pPr>
              <w:widowControl/>
              <w:spacing w:after="150"/>
              <w:jc w:val="center"/>
              <w:rPr>
                <w:rFonts w:ascii="宋体" w:hAnsi="宋体" w:eastAsia="宋体" w:cs="宋体"/>
                <w:kern w:val="0"/>
                <w:sz w:val="24"/>
                <w:szCs w:val="24"/>
              </w:rPr>
            </w:pPr>
            <w:r>
              <w:rPr>
                <w:rFonts w:hint="eastAsia" w:ascii="宋体" w:hAnsi="宋体" w:eastAsia="宋体" w:cs="宋体"/>
                <w:kern w:val="0"/>
                <w:szCs w:val="21"/>
              </w:rPr>
              <w:t>备注</w:t>
            </w:r>
          </w:p>
        </w:tc>
        <w:tc>
          <w:tcPr>
            <w:tcW w:w="7305" w:type="dxa"/>
            <w:gridSpan w:val="6"/>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6F2EC465">
            <w:pPr>
              <w:widowControl/>
              <w:spacing w:after="150"/>
              <w:jc w:val="left"/>
              <w:rPr>
                <w:rFonts w:ascii="宋体" w:hAnsi="宋体" w:eastAsia="宋体" w:cs="宋体"/>
                <w:kern w:val="0"/>
                <w:sz w:val="24"/>
                <w:szCs w:val="24"/>
              </w:rPr>
            </w:pPr>
            <w:r>
              <w:rPr>
                <w:rFonts w:hint="eastAsia" w:ascii="宋体" w:hAnsi="宋体" w:eastAsia="宋体" w:cs="宋体"/>
                <w:kern w:val="0"/>
                <w:szCs w:val="21"/>
              </w:rPr>
              <w:t>a.采购包内属于节能、环境标志产品的报价总金额：</w:t>
            </w:r>
            <w:r>
              <w:rPr>
                <w:rFonts w:hint="eastAsia" w:ascii="宋体" w:hAnsi="宋体" w:eastAsia="宋体" w:cs="宋体"/>
                <w:kern w:val="0"/>
                <w:szCs w:val="21"/>
                <w:u w:val="single"/>
              </w:rPr>
              <w:t>              </w:t>
            </w:r>
            <w:r>
              <w:rPr>
                <w:rFonts w:hint="eastAsia" w:ascii="宋体" w:hAnsi="宋体" w:eastAsia="宋体" w:cs="宋体"/>
                <w:kern w:val="0"/>
                <w:szCs w:val="21"/>
              </w:rPr>
              <w:t>；</w:t>
            </w:r>
          </w:p>
          <w:p w14:paraId="5C4D713D">
            <w:pPr>
              <w:widowControl/>
              <w:spacing w:after="150"/>
              <w:jc w:val="left"/>
              <w:rPr>
                <w:rFonts w:ascii="宋体" w:hAnsi="宋体" w:eastAsia="宋体" w:cs="宋体"/>
                <w:kern w:val="0"/>
                <w:sz w:val="24"/>
                <w:szCs w:val="24"/>
              </w:rPr>
            </w:pPr>
            <w:r>
              <w:rPr>
                <w:rFonts w:hint="eastAsia" w:ascii="宋体" w:hAnsi="宋体" w:eastAsia="宋体" w:cs="宋体"/>
                <w:kern w:val="0"/>
                <w:szCs w:val="21"/>
              </w:rPr>
              <w:t>b.采购包投标总价（报价总金额）：</w:t>
            </w:r>
            <w:r>
              <w:rPr>
                <w:rFonts w:hint="eastAsia" w:ascii="宋体" w:hAnsi="宋体" w:eastAsia="宋体" w:cs="宋体"/>
                <w:kern w:val="0"/>
                <w:szCs w:val="21"/>
                <w:u w:val="single"/>
              </w:rPr>
              <w:t>              </w:t>
            </w:r>
            <w:r>
              <w:rPr>
                <w:rFonts w:hint="eastAsia" w:ascii="宋体" w:hAnsi="宋体" w:eastAsia="宋体" w:cs="宋体"/>
                <w:kern w:val="0"/>
                <w:szCs w:val="21"/>
              </w:rPr>
              <w:t>；</w:t>
            </w:r>
          </w:p>
          <w:p w14:paraId="40C64D66">
            <w:pPr>
              <w:widowControl/>
              <w:spacing w:after="150"/>
              <w:jc w:val="left"/>
              <w:rPr>
                <w:rFonts w:ascii="宋体" w:hAnsi="宋体" w:eastAsia="宋体" w:cs="宋体"/>
                <w:kern w:val="0"/>
                <w:sz w:val="24"/>
                <w:szCs w:val="24"/>
              </w:rPr>
            </w:pPr>
            <w:r>
              <w:rPr>
                <w:rFonts w:hint="eastAsia" w:ascii="宋体" w:hAnsi="宋体" w:eastAsia="宋体" w:cs="宋体"/>
                <w:kern w:val="0"/>
                <w:szCs w:val="21"/>
              </w:rPr>
              <w:t>c.“采购包内属于节能、环境标志产品的报价总金额”占“采购包投标总价（报价总金额）”的比例（以</w:t>
            </w:r>
            <w:r>
              <w:rPr>
                <w:rFonts w:ascii="Calibri" w:hAnsi="Calibri" w:eastAsia="宋体" w:cs="Calibri"/>
                <w:kern w:val="0"/>
                <w:szCs w:val="21"/>
              </w:rPr>
              <w:t>%</w:t>
            </w:r>
            <w:r>
              <w:rPr>
                <w:rFonts w:hint="eastAsia" w:ascii="宋体" w:hAnsi="宋体" w:eastAsia="宋体" w:cs="宋体"/>
                <w:kern w:val="0"/>
                <w:szCs w:val="21"/>
              </w:rPr>
              <w:t>列示）：</w:t>
            </w:r>
            <w:r>
              <w:rPr>
                <w:rFonts w:hint="eastAsia" w:ascii="宋体" w:hAnsi="宋体" w:eastAsia="宋体" w:cs="宋体"/>
                <w:kern w:val="0"/>
                <w:szCs w:val="21"/>
                <w:u w:val="single"/>
              </w:rPr>
              <w:t>              </w:t>
            </w:r>
            <w:r>
              <w:rPr>
                <w:rFonts w:hint="eastAsia" w:ascii="宋体" w:hAnsi="宋体" w:eastAsia="宋体" w:cs="宋体"/>
                <w:kern w:val="0"/>
                <w:szCs w:val="21"/>
              </w:rPr>
              <w:t>。</w:t>
            </w:r>
          </w:p>
        </w:tc>
      </w:tr>
    </w:tbl>
    <w:p w14:paraId="127FDD79">
      <w:pPr>
        <w:widowControl/>
        <w:spacing w:after="150"/>
        <w:jc w:val="left"/>
        <w:rPr>
          <w:rFonts w:ascii="宋体" w:hAnsi="宋体" w:eastAsia="宋体" w:cs="宋体"/>
          <w:kern w:val="0"/>
          <w:sz w:val="24"/>
          <w:szCs w:val="24"/>
        </w:rPr>
      </w:pPr>
      <w:r>
        <w:rPr>
          <w:rFonts w:hint="eastAsia" w:ascii="宋体" w:hAnsi="宋体" w:eastAsia="宋体" w:cs="宋体"/>
          <w:kern w:val="0"/>
          <w:szCs w:val="21"/>
        </w:rPr>
        <w:t>※注意：</w:t>
      </w:r>
    </w:p>
    <w:p w14:paraId="1B11D279">
      <w:pPr>
        <w:widowControl/>
        <w:spacing w:after="150"/>
        <w:jc w:val="left"/>
        <w:rPr>
          <w:rFonts w:ascii="宋体" w:hAnsi="宋体" w:eastAsia="宋体" w:cs="宋体"/>
          <w:kern w:val="0"/>
          <w:sz w:val="24"/>
          <w:szCs w:val="24"/>
        </w:rPr>
      </w:pPr>
      <w:r>
        <w:rPr>
          <w:rFonts w:hint="eastAsia" w:ascii="宋体" w:hAnsi="宋体" w:eastAsia="宋体" w:cs="宋体"/>
          <w:kern w:val="0"/>
          <w:szCs w:val="21"/>
        </w:rPr>
        <w:t>1、对节能、环境标志产品计算价格扣除时，只依据投标文件</w:t>
      </w:r>
      <w:r>
        <w:rPr>
          <w:rFonts w:hint="eastAsia" w:ascii="宋体" w:hAnsi="宋体" w:eastAsia="宋体" w:cs="宋体"/>
          <w:b/>
          <w:bCs/>
          <w:kern w:val="0"/>
          <w:szCs w:val="21"/>
        </w:rPr>
        <w:t>“三</w:t>
      </w:r>
      <w:r>
        <w:rPr>
          <w:rFonts w:ascii="Calibri" w:hAnsi="Calibri" w:eastAsia="宋体" w:cs="Calibri"/>
          <w:b/>
          <w:bCs/>
          <w:kern w:val="0"/>
          <w:szCs w:val="21"/>
        </w:rPr>
        <w:t>-1-</w:t>
      </w:r>
      <w:r>
        <w:rPr>
          <w:rFonts w:hint="eastAsia" w:ascii="宋体" w:hAnsi="宋体" w:eastAsia="宋体" w:cs="宋体"/>
          <w:b/>
          <w:bCs/>
          <w:kern w:val="0"/>
          <w:szCs w:val="21"/>
        </w:rPr>
        <w:t>②优先类节能产品、环境标志产品证明材料（价格扣除适用，若有）”。</w:t>
      </w:r>
    </w:p>
    <w:p w14:paraId="3E3DF601">
      <w:pPr>
        <w:widowControl/>
        <w:spacing w:after="150"/>
        <w:jc w:val="left"/>
        <w:rPr>
          <w:rFonts w:ascii="宋体" w:hAnsi="宋体" w:eastAsia="宋体" w:cs="宋体"/>
          <w:kern w:val="0"/>
          <w:sz w:val="24"/>
          <w:szCs w:val="24"/>
        </w:rPr>
      </w:pPr>
      <w:r>
        <w:rPr>
          <w:rFonts w:hint="eastAsia" w:ascii="宋体" w:hAnsi="宋体" w:eastAsia="宋体" w:cs="宋体"/>
          <w:kern w:val="0"/>
          <w:szCs w:val="21"/>
        </w:rPr>
        <w:t>2、本表以采购包为单位，不同采购包请分别填写；同一采购包请按照其品目号顺序分别填写。</w:t>
      </w:r>
    </w:p>
    <w:p w14:paraId="5BE24FFB">
      <w:pPr>
        <w:widowControl/>
        <w:spacing w:after="150"/>
        <w:jc w:val="left"/>
        <w:rPr>
          <w:rFonts w:ascii="宋体" w:hAnsi="宋体" w:eastAsia="宋体" w:cs="宋体"/>
          <w:kern w:val="0"/>
          <w:sz w:val="24"/>
          <w:szCs w:val="24"/>
        </w:rPr>
      </w:pPr>
      <w:r>
        <w:rPr>
          <w:rFonts w:hint="eastAsia" w:ascii="宋体" w:hAnsi="宋体" w:eastAsia="宋体" w:cs="宋体"/>
          <w:kern w:val="0"/>
          <w:szCs w:val="21"/>
        </w:rPr>
        <w:t>3、具体统计、计算：</w:t>
      </w:r>
    </w:p>
    <w:p w14:paraId="461B499F">
      <w:pPr>
        <w:widowControl/>
        <w:spacing w:after="150"/>
        <w:jc w:val="left"/>
        <w:rPr>
          <w:rFonts w:ascii="宋体" w:hAnsi="宋体" w:eastAsia="宋体" w:cs="宋体"/>
          <w:kern w:val="0"/>
          <w:sz w:val="24"/>
          <w:szCs w:val="24"/>
        </w:rPr>
      </w:pPr>
      <w:r>
        <w:rPr>
          <w:rFonts w:hint="eastAsia" w:ascii="宋体" w:hAnsi="宋体" w:eastAsia="宋体" w:cs="宋体"/>
          <w:kern w:val="0"/>
          <w:szCs w:val="21"/>
        </w:rPr>
        <w:t>3.1若节能、环境标志产品仅是构成投标产品的部件、组件或零件，则该投标产品不享受鼓励优惠政策。同一品目中各认证证书不重复计算价格扣除。强制类节能产品不享受价格扣除。</w:t>
      </w:r>
    </w:p>
    <w:p w14:paraId="61FC9868">
      <w:pPr>
        <w:widowControl/>
        <w:spacing w:after="150"/>
        <w:jc w:val="left"/>
        <w:rPr>
          <w:rFonts w:ascii="宋体" w:hAnsi="宋体" w:eastAsia="宋体" w:cs="宋体"/>
          <w:kern w:val="0"/>
          <w:sz w:val="24"/>
          <w:szCs w:val="24"/>
        </w:rPr>
      </w:pPr>
      <w:r>
        <w:rPr>
          <w:rFonts w:hint="eastAsia" w:ascii="宋体" w:hAnsi="宋体" w:eastAsia="宋体" w:cs="宋体"/>
          <w:kern w:val="0"/>
          <w:szCs w:val="21"/>
        </w:rPr>
        <w:t>3.2计算结果若除不尽，可四舍五入保留到小数点后两位。</w:t>
      </w:r>
    </w:p>
    <w:p w14:paraId="5038618D">
      <w:pPr>
        <w:widowControl/>
        <w:spacing w:after="150"/>
        <w:jc w:val="left"/>
        <w:rPr>
          <w:rFonts w:ascii="宋体" w:hAnsi="宋体" w:eastAsia="宋体" w:cs="宋体"/>
          <w:kern w:val="0"/>
          <w:sz w:val="24"/>
          <w:szCs w:val="24"/>
        </w:rPr>
      </w:pPr>
      <w:r>
        <w:rPr>
          <w:rFonts w:hint="eastAsia" w:ascii="宋体" w:hAnsi="宋体" w:eastAsia="宋体" w:cs="宋体"/>
          <w:kern w:val="0"/>
          <w:szCs w:val="21"/>
        </w:rPr>
        <w:t>3.3投标人应按照招标文件要求认真统计、计算，否则评标委员会不予认定。</w:t>
      </w:r>
    </w:p>
    <w:p w14:paraId="29084847">
      <w:pPr>
        <w:widowControl/>
        <w:spacing w:after="150"/>
        <w:jc w:val="left"/>
        <w:rPr>
          <w:rFonts w:ascii="宋体" w:hAnsi="宋体" w:eastAsia="宋体" w:cs="宋体"/>
          <w:kern w:val="0"/>
          <w:sz w:val="24"/>
          <w:szCs w:val="24"/>
        </w:rPr>
      </w:pPr>
      <w:r>
        <w:rPr>
          <w:rFonts w:hint="eastAsia" w:ascii="宋体" w:hAnsi="宋体" w:eastAsia="宋体" w:cs="宋体"/>
          <w:kern w:val="0"/>
          <w:szCs w:val="21"/>
        </w:rPr>
        <w:t>3.4若无节能、环境标志产品，不填写本表，否则，</w:t>
      </w:r>
      <w:r>
        <w:rPr>
          <w:rFonts w:hint="eastAsia" w:ascii="宋体" w:hAnsi="宋体" w:eastAsia="宋体" w:cs="宋体"/>
          <w:b/>
          <w:bCs/>
          <w:kern w:val="0"/>
          <w:szCs w:val="21"/>
        </w:rPr>
        <w:t>视为提供虚假材料。</w:t>
      </w:r>
    </w:p>
    <w:p w14:paraId="572587F8">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14:paraId="2357D7D2">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14:paraId="2BC14914">
      <w:pPr>
        <w:widowControl/>
        <w:spacing w:after="150"/>
        <w:jc w:val="left"/>
        <w:rPr>
          <w:rFonts w:ascii="宋体" w:hAnsi="宋体" w:eastAsia="宋体" w:cs="宋体"/>
          <w:kern w:val="0"/>
          <w:sz w:val="24"/>
          <w:szCs w:val="24"/>
        </w:rPr>
      </w:pPr>
      <w:r>
        <w:rPr>
          <w:rFonts w:hint="eastAsia" w:ascii="宋体" w:hAnsi="宋体" w:eastAsia="宋体" w:cs="宋体"/>
          <w:kern w:val="0"/>
          <w:szCs w:val="21"/>
        </w:rPr>
        <w:t>投标人：</w:t>
      </w:r>
      <w:r>
        <w:rPr>
          <w:rFonts w:hint="eastAsia" w:ascii="宋体" w:hAnsi="宋体" w:eastAsia="宋体" w:cs="宋体"/>
          <w:kern w:val="0"/>
          <w:szCs w:val="21"/>
          <w:u w:val="single"/>
        </w:rPr>
        <w:t>（全称并加盖单位公章）</w:t>
      </w:r>
    </w:p>
    <w:p w14:paraId="30DE69FF">
      <w:pPr>
        <w:widowControl/>
        <w:spacing w:after="150"/>
        <w:jc w:val="left"/>
        <w:rPr>
          <w:rFonts w:ascii="宋体" w:hAnsi="宋体" w:eastAsia="宋体" w:cs="宋体"/>
          <w:kern w:val="0"/>
          <w:sz w:val="24"/>
          <w:szCs w:val="24"/>
        </w:rPr>
      </w:pPr>
      <w:r>
        <w:rPr>
          <w:rFonts w:hint="eastAsia" w:ascii="宋体" w:hAnsi="宋体" w:eastAsia="宋体" w:cs="宋体"/>
          <w:kern w:val="0"/>
          <w:szCs w:val="21"/>
        </w:rPr>
        <w:t>日期：</w:t>
      </w:r>
      <w:r>
        <w:rPr>
          <w:rFonts w:hint="eastAsia" w:ascii="宋体" w:hAnsi="宋体" w:eastAsia="宋体" w:cs="宋体"/>
          <w:kern w:val="0"/>
          <w:szCs w:val="21"/>
          <w:u w:val="single"/>
        </w:rPr>
        <w:t>    </w:t>
      </w:r>
      <w:r>
        <w:rPr>
          <w:rFonts w:hint="eastAsia" w:ascii="宋体" w:hAnsi="宋体" w:eastAsia="宋体" w:cs="宋体"/>
          <w:kern w:val="0"/>
          <w:szCs w:val="21"/>
        </w:rPr>
        <w:t>年</w:t>
      </w:r>
      <w:r>
        <w:rPr>
          <w:rFonts w:hint="eastAsia" w:ascii="宋体" w:hAnsi="宋体" w:eastAsia="宋体" w:cs="宋体"/>
          <w:kern w:val="0"/>
          <w:szCs w:val="21"/>
          <w:u w:val="single"/>
        </w:rPr>
        <w:t>   </w:t>
      </w:r>
      <w:r>
        <w:rPr>
          <w:rFonts w:hint="eastAsia" w:ascii="宋体" w:hAnsi="宋体" w:eastAsia="宋体" w:cs="宋体"/>
          <w:kern w:val="0"/>
          <w:szCs w:val="21"/>
        </w:rPr>
        <w:t>月</w:t>
      </w:r>
      <w:r>
        <w:rPr>
          <w:rFonts w:hint="eastAsia" w:ascii="宋体" w:hAnsi="宋体" w:eastAsia="宋体" w:cs="宋体"/>
          <w:kern w:val="0"/>
          <w:szCs w:val="21"/>
          <w:u w:val="single"/>
        </w:rPr>
        <w:t>   </w:t>
      </w:r>
      <w:r>
        <w:rPr>
          <w:rFonts w:hint="eastAsia" w:ascii="宋体" w:hAnsi="宋体" w:eastAsia="宋体" w:cs="宋体"/>
          <w:kern w:val="0"/>
          <w:szCs w:val="21"/>
        </w:rPr>
        <w:t>日</w:t>
      </w:r>
    </w:p>
    <w:p w14:paraId="334FD5D8">
      <w:pPr>
        <w:widowControl/>
        <w:spacing w:after="150"/>
        <w:jc w:val="left"/>
        <w:rPr>
          <w:rFonts w:ascii="宋体" w:hAnsi="宋体" w:eastAsia="宋体" w:cs="宋体"/>
          <w:kern w:val="0"/>
          <w:sz w:val="24"/>
          <w:szCs w:val="24"/>
        </w:rPr>
      </w:pPr>
      <w:r>
        <w:rPr>
          <w:rFonts w:hint="eastAsia" w:ascii="宋体" w:hAnsi="宋体" w:eastAsia="宋体" w:cs="宋体"/>
          <w:b/>
          <w:bCs/>
          <w:kern w:val="0"/>
          <w:szCs w:val="21"/>
        </w:rPr>
        <w:t> </w:t>
      </w:r>
    </w:p>
    <w:p w14:paraId="2E2FEA11">
      <w:pPr>
        <w:widowControl/>
        <w:spacing w:after="150"/>
        <w:jc w:val="left"/>
        <w:rPr>
          <w:rFonts w:ascii="宋体" w:hAnsi="宋体" w:eastAsia="宋体" w:cs="宋体"/>
          <w:kern w:val="0"/>
          <w:sz w:val="24"/>
          <w:szCs w:val="24"/>
        </w:rPr>
      </w:pPr>
      <w:r>
        <w:rPr>
          <w:rFonts w:hint="eastAsia" w:ascii="宋体" w:hAnsi="宋体" w:eastAsia="宋体" w:cs="宋体"/>
          <w:b/>
          <w:bCs/>
          <w:kern w:val="0"/>
          <w:szCs w:val="21"/>
        </w:rPr>
        <w:t> </w:t>
      </w:r>
    </w:p>
    <w:p w14:paraId="5EC9476D">
      <w:pPr>
        <w:widowControl/>
        <w:spacing w:after="150"/>
        <w:jc w:val="center"/>
        <w:rPr>
          <w:rFonts w:ascii="宋体" w:hAnsi="宋体" w:eastAsia="宋体" w:cs="宋体"/>
          <w:kern w:val="0"/>
          <w:sz w:val="24"/>
          <w:szCs w:val="24"/>
        </w:rPr>
      </w:pPr>
      <w:r>
        <w:rPr>
          <w:rFonts w:ascii="Calibri" w:hAnsi="Calibri" w:eastAsia="宋体" w:cs="Calibri"/>
          <w:b/>
          <w:bCs/>
          <w:kern w:val="0"/>
          <w:szCs w:val="21"/>
        </w:rPr>
        <w:br w:type="textWrapping"/>
      </w:r>
      <w:r>
        <w:rPr>
          <w:rFonts w:hint="eastAsia" w:ascii="宋体" w:hAnsi="宋体" w:eastAsia="宋体" w:cs="宋体"/>
          <w:b/>
          <w:bCs/>
          <w:kern w:val="0"/>
          <w:szCs w:val="21"/>
        </w:rPr>
        <w:t>三-1-②优先类节能产品、环境标志产品证明材料（价格扣除适用，若有）</w:t>
      </w:r>
    </w:p>
    <w:p w14:paraId="653A6209">
      <w:pPr>
        <w:widowControl/>
        <w:spacing w:after="150"/>
        <w:jc w:val="center"/>
        <w:rPr>
          <w:rFonts w:ascii="宋体" w:hAnsi="宋体" w:eastAsia="宋体" w:cs="宋体"/>
          <w:kern w:val="0"/>
          <w:sz w:val="24"/>
          <w:szCs w:val="24"/>
        </w:rPr>
      </w:pPr>
      <w:r>
        <w:rPr>
          <w:rFonts w:ascii="Calibri" w:hAnsi="Calibri" w:eastAsia="宋体" w:cs="Calibri"/>
          <w:b/>
          <w:bCs/>
          <w:kern w:val="0"/>
          <w:szCs w:val="21"/>
        </w:rPr>
        <w:br w:type="textWrapping"/>
      </w:r>
      <w:r>
        <w:rPr>
          <w:rFonts w:hint="eastAsia" w:ascii="宋体" w:hAnsi="宋体" w:eastAsia="宋体" w:cs="宋体"/>
          <w:b/>
          <w:bCs/>
          <w:kern w:val="0"/>
          <w:szCs w:val="21"/>
        </w:rPr>
        <w:t>三-2小型、微型企业产品等价格扣除证明材料（若有）</w:t>
      </w:r>
      <w:r>
        <w:rPr>
          <w:rFonts w:hint="eastAsia" w:ascii="宋体" w:hAnsi="宋体" w:eastAsia="宋体" w:cs="宋体"/>
          <w:b/>
          <w:bCs/>
          <w:kern w:val="0"/>
          <w:szCs w:val="21"/>
        </w:rPr>
        <w:br w:type="textWrapping"/>
      </w:r>
    </w:p>
    <w:p w14:paraId="58B7CB84">
      <w:pPr>
        <w:widowControl/>
        <w:spacing w:after="150"/>
        <w:jc w:val="center"/>
        <w:rPr>
          <w:rFonts w:ascii="宋体" w:hAnsi="宋体" w:eastAsia="宋体" w:cs="宋体"/>
          <w:kern w:val="0"/>
          <w:sz w:val="24"/>
          <w:szCs w:val="24"/>
        </w:rPr>
      </w:pPr>
      <w:r>
        <w:rPr>
          <w:rFonts w:hint="eastAsia" w:ascii="宋体" w:hAnsi="宋体" w:eastAsia="宋体" w:cs="宋体"/>
          <w:b/>
          <w:bCs/>
          <w:kern w:val="0"/>
          <w:szCs w:val="21"/>
        </w:rPr>
        <w:br w:type="textWrapping"/>
      </w:r>
      <w:r>
        <w:rPr>
          <w:rFonts w:hint="eastAsia" w:ascii="宋体" w:hAnsi="宋体" w:eastAsia="宋体" w:cs="宋体"/>
          <w:b/>
          <w:bCs/>
          <w:kern w:val="0"/>
          <w:szCs w:val="21"/>
        </w:rPr>
        <w:t>三-2-①中小企业声明函（价格扣除适用，若有）</w:t>
      </w:r>
    </w:p>
    <w:p w14:paraId="717D3BC7">
      <w:pPr>
        <w:widowControl/>
        <w:spacing w:after="150"/>
        <w:jc w:val="left"/>
        <w:rPr>
          <w:rFonts w:ascii="宋体" w:hAnsi="宋体" w:eastAsia="宋体" w:cs="宋体"/>
          <w:kern w:val="0"/>
          <w:sz w:val="24"/>
          <w:szCs w:val="24"/>
        </w:rPr>
      </w:pPr>
      <w:r>
        <w:rPr>
          <w:rFonts w:hint="eastAsia" w:ascii="宋体" w:hAnsi="宋体" w:eastAsia="宋体" w:cs="宋体"/>
          <w:b/>
          <w:bCs/>
          <w:kern w:val="0"/>
          <w:szCs w:val="21"/>
        </w:rPr>
        <w:br w:type="textWrapping"/>
      </w:r>
    </w:p>
    <w:p w14:paraId="32D25724">
      <w:pPr>
        <w:widowControl/>
        <w:spacing w:before="150" w:after="150"/>
        <w:jc w:val="center"/>
        <w:outlineLvl w:val="5"/>
        <w:rPr>
          <w:rFonts w:ascii="Helvetica" w:hAnsi="Helvetica" w:eastAsia="宋体" w:cs="Helvetica"/>
          <w:kern w:val="0"/>
          <w:sz w:val="20"/>
          <w:szCs w:val="20"/>
        </w:rPr>
      </w:pPr>
      <w:r>
        <w:rPr>
          <w:rFonts w:hint="eastAsia" w:ascii="宋体" w:hAnsi="宋体" w:eastAsia="宋体" w:cs="Helvetica"/>
          <w:b/>
          <w:bCs/>
          <w:kern w:val="0"/>
          <w:sz w:val="24"/>
          <w:szCs w:val="24"/>
        </w:rPr>
        <w:t>中小企业声明函（货物）</w:t>
      </w:r>
    </w:p>
    <w:p w14:paraId="10EE5ED7">
      <w:pPr>
        <w:widowControl/>
        <w:spacing w:before="75" w:after="75"/>
        <w:ind w:firstLine="420"/>
        <w:jc w:val="left"/>
        <w:rPr>
          <w:rFonts w:ascii="宋体" w:hAnsi="宋体" w:eastAsia="宋体" w:cs="宋体"/>
          <w:kern w:val="0"/>
          <w:sz w:val="24"/>
          <w:szCs w:val="24"/>
        </w:rPr>
      </w:pPr>
      <w:r>
        <w:rPr>
          <w:rFonts w:hint="eastAsia" w:ascii="宋体" w:hAnsi="宋体" w:eastAsia="宋体" w:cs="宋体"/>
          <w:kern w:val="0"/>
          <w:szCs w:val="21"/>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p>
    <w:p w14:paraId="1AA7964A">
      <w:pPr>
        <w:widowControl/>
        <w:spacing w:before="75" w:after="75"/>
        <w:ind w:firstLine="420"/>
        <w:jc w:val="left"/>
        <w:rPr>
          <w:rFonts w:ascii="宋体" w:hAnsi="宋体" w:eastAsia="宋体" w:cs="宋体"/>
          <w:kern w:val="0"/>
          <w:sz w:val="24"/>
          <w:szCs w:val="24"/>
        </w:rPr>
      </w:pPr>
      <w:r>
        <w:rPr>
          <w:rFonts w:hint="eastAsia" w:ascii="宋体" w:hAnsi="宋体" w:eastAsia="宋体" w:cs="宋体"/>
          <w:kern w:val="0"/>
          <w:szCs w:val="21"/>
        </w:rPr>
        <w:t>1. </w:t>
      </w:r>
      <w:r>
        <w:rPr>
          <w:rFonts w:hint="eastAsia" w:ascii="宋体" w:hAnsi="宋体" w:eastAsia="宋体" w:cs="宋体"/>
          <w:kern w:val="0"/>
          <w:szCs w:val="21"/>
          <w:u w:val="single"/>
        </w:rPr>
        <w:t> （标的名称） </w:t>
      </w:r>
      <w:r>
        <w:rPr>
          <w:rFonts w:hint="eastAsia" w:ascii="宋体" w:hAnsi="宋体" w:eastAsia="宋体" w:cs="宋体"/>
          <w:kern w:val="0"/>
          <w:szCs w:val="21"/>
        </w:rPr>
        <w:t>，属于</w:t>
      </w:r>
      <w:r>
        <w:rPr>
          <w:rFonts w:hint="eastAsia" w:ascii="宋体" w:hAnsi="宋体" w:eastAsia="宋体" w:cs="宋体"/>
          <w:kern w:val="0"/>
          <w:szCs w:val="21"/>
          <w:u w:val="single"/>
        </w:rPr>
        <w:t>（采购文件中明确的所属行业）</w:t>
      </w:r>
      <w:r>
        <w:rPr>
          <w:rFonts w:hint="eastAsia" w:ascii="宋体" w:hAnsi="宋体" w:eastAsia="宋体" w:cs="宋体"/>
          <w:kern w:val="0"/>
          <w:szCs w:val="21"/>
        </w:rPr>
        <w:t>行业；制造商为（企业名称），从业人员</w:t>
      </w:r>
      <w:r>
        <w:rPr>
          <w:rFonts w:hint="eastAsia" w:ascii="宋体" w:hAnsi="宋体" w:eastAsia="宋体" w:cs="宋体"/>
          <w:kern w:val="0"/>
          <w:szCs w:val="21"/>
          <w:u w:val="single"/>
        </w:rPr>
        <w:t>  </w:t>
      </w:r>
      <w:r>
        <w:rPr>
          <w:rFonts w:hint="eastAsia" w:ascii="宋体" w:hAnsi="宋体" w:eastAsia="宋体" w:cs="宋体"/>
          <w:kern w:val="0"/>
          <w:szCs w:val="21"/>
        </w:rPr>
        <w:t>人，营业收入为</w:t>
      </w:r>
      <w:r>
        <w:rPr>
          <w:rFonts w:hint="eastAsia" w:ascii="宋体" w:hAnsi="宋体" w:eastAsia="宋体" w:cs="宋体"/>
          <w:kern w:val="0"/>
          <w:szCs w:val="21"/>
          <w:u w:val="single"/>
        </w:rPr>
        <w:t>  </w:t>
      </w:r>
      <w:r>
        <w:rPr>
          <w:rFonts w:hint="eastAsia" w:ascii="宋体" w:hAnsi="宋体" w:eastAsia="宋体" w:cs="宋体"/>
          <w:kern w:val="0"/>
          <w:szCs w:val="21"/>
        </w:rPr>
        <w:t>万元，资产总额为</w:t>
      </w:r>
      <w:r>
        <w:rPr>
          <w:rFonts w:hint="eastAsia" w:ascii="宋体" w:hAnsi="宋体" w:eastAsia="宋体" w:cs="宋体"/>
          <w:kern w:val="0"/>
          <w:szCs w:val="21"/>
          <w:u w:val="single"/>
        </w:rPr>
        <w:t>  </w:t>
      </w:r>
      <w:r>
        <w:rPr>
          <w:rFonts w:hint="eastAsia" w:ascii="宋体" w:hAnsi="宋体" w:eastAsia="宋体" w:cs="宋体"/>
          <w:kern w:val="0"/>
          <w:szCs w:val="21"/>
        </w:rPr>
        <w:t>万元</w:t>
      </w:r>
      <w:r>
        <w:rPr>
          <w:rFonts w:hint="eastAsia" w:ascii="宋体" w:hAnsi="宋体" w:eastAsia="宋体" w:cs="宋体"/>
          <w:kern w:val="0"/>
          <w:szCs w:val="21"/>
          <w:vertAlign w:val="superscript"/>
        </w:rPr>
        <w:t>1</w:t>
      </w:r>
      <w:r>
        <w:rPr>
          <w:rFonts w:hint="eastAsia" w:ascii="宋体" w:hAnsi="宋体" w:eastAsia="宋体" w:cs="宋体"/>
          <w:kern w:val="0"/>
          <w:szCs w:val="21"/>
        </w:rPr>
        <w:t>，属于</w:t>
      </w:r>
      <w:r>
        <w:rPr>
          <w:rFonts w:hint="eastAsia" w:ascii="宋体" w:hAnsi="宋体" w:eastAsia="宋体" w:cs="宋体"/>
          <w:kern w:val="0"/>
          <w:szCs w:val="21"/>
          <w:u w:val="single"/>
        </w:rPr>
        <w:t>（中型企业、小型企业、微型企业）</w:t>
      </w:r>
      <w:r>
        <w:rPr>
          <w:rFonts w:hint="eastAsia" w:ascii="宋体" w:hAnsi="宋体" w:eastAsia="宋体" w:cs="宋体"/>
          <w:kern w:val="0"/>
          <w:szCs w:val="21"/>
        </w:rPr>
        <w:t>；</w:t>
      </w:r>
    </w:p>
    <w:p w14:paraId="67AB9295">
      <w:pPr>
        <w:widowControl/>
        <w:spacing w:before="75" w:after="75"/>
        <w:ind w:firstLine="420"/>
        <w:jc w:val="left"/>
        <w:rPr>
          <w:rFonts w:ascii="宋体" w:hAnsi="宋体" w:eastAsia="宋体" w:cs="宋体"/>
          <w:kern w:val="0"/>
          <w:sz w:val="24"/>
          <w:szCs w:val="24"/>
        </w:rPr>
      </w:pPr>
      <w:r>
        <w:rPr>
          <w:rFonts w:hint="eastAsia" w:ascii="宋体" w:hAnsi="宋体" w:eastAsia="宋体" w:cs="宋体"/>
          <w:kern w:val="0"/>
          <w:szCs w:val="21"/>
        </w:rPr>
        <w:t>2. </w:t>
      </w:r>
      <w:r>
        <w:rPr>
          <w:rFonts w:hint="eastAsia" w:ascii="宋体" w:hAnsi="宋体" w:eastAsia="宋体" w:cs="宋体"/>
          <w:kern w:val="0"/>
          <w:szCs w:val="21"/>
          <w:u w:val="single"/>
        </w:rPr>
        <w:t> （标的名称） </w:t>
      </w:r>
      <w:r>
        <w:rPr>
          <w:rFonts w:hint="eastAsia" w:ascii="宋体" w:hAnsi="宋体" w:eastAsia="宋体" w:cs="宋体"/>
          <w:kern w:val="0"/>
          <w:szCs w:val="21"/>
        </w:rPr>
        <w:t>， 属于</w:t>
      </w:r>
      <w:r>
        <w:rPr>
          <w:rFonts w:hint="eastAsia" w:ascii="宋体" w:hAnsi="宋体" w:eastAsia="宋体" w:cs="宋体"/>
          <w:kern w:val="0"/>
          <w:szCs w:val="21"/>
          <w:u w:val="single"/>
        </w:rPr>
        <w:t> （采购文件中明确的所属行业 ）</w:t>
      </w:r>
      <w:r>
        <w:rPr>
          <w:rFonts w:hint="eastAsia" w:ascii="宋体" w:hAnsi="宋体" w:eastAsia="宋体" w:cs="宋体"/>
          <w:kern w:val="0"/>
          <w:szCs w:val="21"/>
        </w:rPr>
        <w:t>行业；制造商为</w:t>
      </w:r>
      <w:r>
        <w:rPr>
          <w:rFonts w:hint="eastAsia" w:ascii="宋体" w:hAnsi="宋体" w:eastAsia="宋体" w:cs="宋体"/>
          <w:kern w:val="0"/>
          <w:szCs w:val="21"/>
          <w:u w:val="single"/>
        </w:rPr>
        <w:t>（企业名称）</w:t>
      </w:r>
      <w:r>
        <w:rPr>
          <w:rFonts w:hint="eastAsia" w:ascii="宋体" w:hAnsi="宋体" w:eastAsia="宋体" w:cs="宋体"/>
          <w:kern w:val="0"/>
          <w:szCs w:val="21"/>
        </w:rPr>
        <w:t>，从业人员</w:t>
      </w:r>
      <w:r>
        <w:rPr>
          <w:rFonts w:hint="eastAsia" w:ascii="宋体" w:hAnsi="宋体" w:eastAsia="宋体" w:cs="宋体"/>
          <w:kern w:val="0"/>
          <w:szCs w:val="21"/>
          <w:u w:val="single"/>
        </w:rPr>
        <w:t>  </w:t>
      </w:r>
      <w:r>
        <w:rPr>
          <w:rFonts w:hint="eastAsia" w:ascii="宋体" w:hAnsi="宋体" w:eastAsia="宋体" w:cs="宋体"/>
          <w:kern w:val="0"/>
          <w:szCs w:val="21"/>
        </w:rPr>
        <w:t>人，营业收入为</w:t>
      </w:r>
      <w:r>
        <w:rPr>
          <w:rFonts w:hint="eastAsia" w:ascii="宋体" w:hAnsi="宋体" w:eastAsia="宋体" w:cs="宋体"/>
          <w:kern w:val="0"/>
          <w:szCs w:val="21"/>
          <w:u w:val="single"/>
        </w:rPr>
        <w:t>  </w:t>
      </w:r>
      <w:r>
        <w:rPr>
          <w:rFonts w:hint="eastAsia" w:ascii="宋体" w:hAnsi="宋体" w:eastAsia="宋体" w:cs="宋体"/>
          <w:kern w:val="0"/>
          <w:szCs w:val="21"/>
        </w:rPr>
        <w:t>万元，资产总额为</w:t>
      </w:r>
      <w:r>
        <w:rPr>
          <w:rFonts w:hint="eastAsia" w:ascii="宋体" w:hAnsi="宋体" w:eastAsia="宋体" w:cs="宋体"/>
          <w:kern w:val="0"/>
          <w:szCs w:val="21"/>
          <w:u w:val="single"/>
        </w:rPr>
        <w:t>  </w:t>
      </w:r>
      <w:r>
        <w:rPr>
          <w:rFonts w:hint="eastAsia" w:ascii="宋体" w:hAnsi="宋体" w:eastAsia="宋体" w:cs="宋体"/>
          <w:kern w:val="0"/>
          <w:szCs w:val="21"/>
        </w:rPr>
        <w:t>万元，属于</w:t>
      </w:r>
      <w:r>
        <w:rPr>
          <w:rFonts w:hint="eastAsia" w:ascii="宋体" w:hAnsi="宋体" w:eastAsia="宋体" w:cs="宋体"/>
          <w:kern w:val="0"/>
          <w:szCs w:val="21"/>
          <w:u w:val="single"/>
        </w:rPr>
        <w:t>（中型企业、小型企业、微型企业）</w:t>
      </w:r>
      <w:r>
        <w:rPr>
          <w:rFonts w:hint="eastAsia" w:ascii="宋体" w:hAnsi="宋体" w:eastAsia="宋体" w:cs="宋体"/>
          <w:kern w:val="0"/>
          <w:szCs w:val="21"/>
        </w:rPr>
        <w:t>；</w:t>
      </w:r>
    </w:p>
    <w:p w14:paraId="1B6982FC">
      <w:pPr>
        <w:widowControl/>
        <w:spacing w:before="75" w:after="75"/>
        <w:ind w:firstLine="420"/>
        <w:jc w:val="left"/>
        <w:rPr>
          <w:rFonts w:ascii="宋体" w:hAnsi="宋体" w:eastAsia="宋体" w:cs="宋体"/>
          <w:kern w:val="0"/>
          <w:sz w:val="24"/>
          <w:szCs w:val="24"/>
        </w:rPr>
      </w:pPr>
      <w:r>
        <w:rPr>
          <w:rFonts w:ascii="Calibri" w:hAnsi="Calibri" w:eastAsia="宋体" w:cs="Calibri"/>
          <w:kern w:val="0"/>
          <w:sz w:val="24"/>
          <w:szCs w:val="24"/>
        </w:rPr>
        <w:t>  </w:t>
      </w:r>
    </w:p>
    <w:p w14:paraId="031E83FD">
      <w:pPr>
        <w:widowControl/>
        <w:spacing w:before="75" w:after="75"/>
        <w:ind w:firstLine="420"/>
        <w:jc w:val="left"/>
        <w:rPr>
          <w:rFonts w:ascii="宋体" w:hAnsi="宋体" w:eastAsia="宋体" w:cs="宋体"/>
          <w:kern w:val="0"/>
          <w:sz w:val="24"/>
          <w:szCs w:val="24"/>
        </w:rPr>
      </w:pPr>
      <w:r>
        <w:rPr>
          <w:rFonts w:hint="eastAsia" w:ascii="宋体" w:hAnsi="宋体" w:eastAsia="宋体" w:cs="宋体"/>
          <w:kern w:val="0"/>
          <w:szCs w:val="21"/>
        </w:rPr>
        <w:t>……</w:t>
      </w:r>
    </w:p>
    <w:p w14:paraId="2A287FD5">
      <w:pPr>
        <w:widowControl/>
        <w:spacing w:before="75" w:after="75"/>
        <w:ind w:firstLine="420"/>
        <w:jc w:val="left"/>
        <w:rPr>
          <w:rFonts w:ascii="宋体" w:hAnsi="宋体" w:eastAsia="宋体" w:cs="宋体"/>
          <w:kern w:val="0"/>
          <w:sz w:val="24"/>
          <w:szCs w:val="24"/>
        </w:rPr>
      </w:pPr>
      <w:r>
        <w:rPr>
          <w:rFonts w:hint="eastAsia" w:ascii="宋体" w:hAnsi="宋体" w:eastAsia="宋体" w:cs="宋体"/>
          <w:kern w:val="0"/>
          <w:szCs w:val="21"/>
        </w:rPr>
        <w:t> </w:t>
      </w:r>
    </w:p>
    <w:p w14:paraId="6238A266">
      <w:pPr>
        <w:widowControl/>
        <w:spacing w:before="75" w:after="75"/>
        <w:ind w:firstLine="420"/>
        <w:jc w:val="left"/>
        <w:rPr>
          <w:rFonts w:ascii="宋体" w:hAnsi="宋体" w:eastAsia="宋体" w:cs="宋体"/>
          <w:kern w:val="0"/>
          <w:sz w:val="24"/>
          <w:szCs w:val="24"/>
        </w:rPr>
      </w:pPr>
      <w:r>
        <w:rPr>
          <w:rFonts w:hint="eastAsia" w:ascii="宋体" w:hAnsi="宋体" w:eastAsia="宋体" w:cs="宋体"/>
          <w:kern w:val="0"/>
          <w:szCs w:val="21"/>
        </w:rPr>
        <w:t>以上企业，不属于大企业的分支机构，不存在控股股东为大企业的情形，也不存在与大企业的负责人为同一人的情形。</w:t>
      </w:r>
    </w:p>
    <w:p w14:paraId="67EA70A1">
      <w:pPr>
        <w:widowControl/>
        <w:spacing w:before="75" w:after="75"/>
        <w:ind w:firstLine="420"/>
        <w:jc w:val="left"/>
        <w:rPr>
          <w:rFonts w:ascii="宋体" w:hAnsi="宋体" w:eastAsia="宋体" w:cs="宋体"/>
          <w:kern w:val="0"/>
          <w:sz w:val="24"/>
          <w:szCs w:val="24"/>
        </w:rPr>
      </w:pPr>
      <w:r>
        <w:rPr>
          <w:rFonts w:hint="eastAsia" w:ascii="宋体" w:hAnsi="宋体" w:eastAsia="宋体" w:cs="宋体"/>
          <w:kern w:val="0"/>
          <w:szCs w:val="21"/>
        </w:rPr>
        <w:t> </w:t>
      </w:r>
    </w:p>
    <w:p w14:paraId="50301C66">
      <w:pPr>
        <w:widowControl/>
        <w:spacing w:before="75" w:after="75"/>
        <w:ind w:firstLine="420"/>
        <w:jc w:val="left"/>
        <w:rPr>
          <w:rFonts w:ascii="宋体" w:hAnsi="宋体" w:eastAsia="宋体" w:cs="宋体"/>
          <w:kern w:val="0"/>
          <w:sz w:val="24"/>
          <w:szCs w:val="24"/>
        </w:rPr>
      </w:pPr>
      <w:r>
        <w:rPr>
          <w:rFonts w:hint="eastAsia" w:ascii="宋体" w:hAnsi="宋体" w:eastAsia="宋体" w:cs="宋体"/>
          <w:kern w:val="0"/>
          <w:szCs w:val="21"/>
        </w:rPr>
        <w:t>本企业对上述声明内容的真实性负责。如有虚假，将依法承担相应责任。</w:t>
      </w:r>
    </w:p>
    <w:p w14:paraId="42C794D9">
      <w:pPr>
        <w:widowControl/>
        <w:spacing w:before="75" w:after="75"/>
        <w:ind w:firstLine="420"/>
        <w:jc w:val="left"/>
        <w:rPr>
          <w:rFonts w:ascii="宋体" w:hAnsi="宋体" w:eastAsia="宋体" w:cs="宋体"/>
          <w:kern w:val="0"/>
          <w:sz w:val="24"/>
          <w:szCs w:val="24"/>
        </w:rPr>
      </w:pPr>
      <w:r>
        <w:rPr>
          <w:rFonts w:hint="eastAsia" w:ascii="宋体" w:hAnsi="宋体" w:eastAsia="宋体" w:cs="宋体"/>
          <w:kern w:val="0"/>
          <w:szCs w:val="21"/>
        </w:rPr>
        <w:t>                                                                               企业名称（盖章）：                                     日期：</w:t>
      </w:r>
    </w:p>
    <w:p w14:paraId="4C143528">
      <w:pPr>
        <w:widowControl/>
        <w:spacing w:before="75" w:after="75"/>
        <w:ind w:firstLine="420"/>
        <w:jc w:val="left"/>
        <w:rPr>
          <w:rFonts w:ascii="宋体" w:hAnsi="宋体" w:eastAsia="宋体" w:cs="宋体"/>
          <w:kern w:val="0"/>
          <w:sz w:val="24"/>
          <w:szCs w:val="24"/>
        </w:rPr>
      </w:pPr>
      <w:r>
        <w:rPr>
          <w:rFonts w:hint="eastAsia" w:ascii="宋体" w:hAnsi="宋体" w:eastAsia="宋体" w:cs="宋体"/>
          <w:kern w:val="0"/>
          <w:szCs w:val="21"/>
        </w:rPr>
        <w:t> </w:t>
      </w:r>
    </w:p>
    <w:p w14:paraId="0506CA96">
      <w:pPr>
        <w:widowControl/>
        <w:spacing w:before="75" w:after="75"/>
        <w:ind w:firstLine="420"/>
        <w:jc w:val="left"/>
        <w:rPr>
          <w:rFonts w:ascii="宋体" w:hAnsi="宋体" w:eastAsia="宋体" w:cs="宋体"/>
          <w:kern w:val="0"/>
          <w:sz w:val="24"/>
          <w:szCs w:val="24"/>
        </w:rPr>
      </w:pPr>
      <w:r>
        <w:rPr>
          <w:rFonts w:hint="eastAsia" w:ascii="宋体" w:hAnsi="宋体" w:eastAsia="宋体" w:cs="宋体"/>
          <w:b/>
          <w:bCs/>
          <w:kern w:val="0"/>
          <w:szCs w:val="21"/>
        </w:rPr>
        <w:t>1、从业人员、营业收入、资产总额填报上一年度数据，无上一年度数据的新成立企业可不填报。</w:t>
      </w:r>
    </w:p>
    <w:p w14:paraId="6403F0BD">
      <w:pPr>
        <w:widowControl/>
        <w:spacing w:before="75" w:after="75"/>
        <w:ind w:firstLine="420"/>
        <w:jc w:val="left"/>
        <w:rPr>
          <w:rFonts w:ascii="宋体" w:hAnsi="宋体" w:eastAsia="宋体" w:cs="宋体"/>
          <w:kern w:val="0"/>
          <w:sz w:val="24"/>
          <w:szCs w:val="24"/>
        </w:rPr>
      </w:pPr>
      <w:r>
        <w:rPr>
          <w:rFonts w:hint="eastAsia" w:ascii="宋体" w:hAnsi="宋体" w:eastAsia="宋体" w:cs="宋体"/>
          <w:b/>
          <w:bCs/>
          <w:kern w:val="0"/>
          <w:szCs w:val="21"/>
        </w:rPr>
        <w:t>2、投标人须按招标文件第四章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1C8BCF5C">
      <w:pPr>
        <w:widowControl/>
        <w:spacing w:before="75" w:after="75"/>
        <w:ind w:firstLine="420"/>
        <w:jc w:val="left"/>
        <w:rPr>
          <w:rFonts w:ascii="宋体" w:hAnsi="宋体" w:eastAsia="宋体" w:cs="宋体"/>
          <w:kern w:val="0"/>
          <w:sz w:val="24"/>
          <w:szCs w:val="24"/>
        </w:rPr>
      </w:pPr>
      <w:r>
        <w:rPr>
          <w:rFonts w:hint="eastAsia" w:ascii="宋体" w:hAnsi="宋体" w:eastAsia="宋体" w:cs="宋体"/>
          <w:b/>
          <w:bCs/>
          <w:kern w:val="0"/>
          <w:szCs w:val="21"/>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51B0CC8E">
      <w:pPr>
        <w:widowControl/>
        <w:spacing w:before="150" w:after="150"/>
        <w:jc w:val="center"/>
        <w:outlineLvl w:val="5"/>
        <w:rPr>
          <w:rFonts w:ascii="Helvetica" w:hAnsi="Helvetica" w:eastAsia="宋体" w:cs="Helvetica"/>
          <w:kern w:val="0"/>
          <w:sz w:val="20"/>
          <w:szCs w:val="20"/>
        </w:rPr>
      </w:pPr>
      <w:r>
        <w:rPr>
          <w:rFonts w:hint="eastAsia" w:ascii="宋体" w:hAnsi="宋体" w:eastAsia="宋体" w:cs="Helvetica"/>
          <w:b/>
          <w:bCs/>
          <w:kern w:val="0"/>
          <w:sz w:val="24"/>
          <w:szCs w:val="24"/>
        </w:rPr>
        <w:t>中小企业声明函（工程、服务</w:t>
      </w:r>
      <w:r>
        <w:rPr>
          <w:rFonts w:hint="eastAsia" w:ascii="宋体" w:hAnsi="宋体" w:eastAsia="宋体" w:cs="Helvetica"/>
          <w:b/>
          <w:bCs/>
          <w:kern w:val="0"/>
          <w:szCs w:val="21"/>
        </w:rPr>
        <w:t>）</w:t>
      </w:r>
    </w:p>
    <w:p w14:paraId="6BD85564">
      <w:pPr>
        <w:widowControl/>
        <w:spacing w:before="75" w:after="75"/>
        <w:ind w:firstLine="420"/>
        <w:jc w:val="left"/>
        <w:rPr>
          <w:rFonts w:ascii="宋体" w:hAnsi="宋体" w:eastAsia="宋体" w:cs="宋体"/>
          <w:kern w:val="0"/>
          <w:sz w:val="24"/>
          <w:szCs w:val="24"/>
        </w:rPr>
      </w:pPr>
      <w:r>
        <w:rPr>
          <w:rFonts w:hint="eastAsia" w:ascii="宋体" w:hAnsi="宋体" w:eastAsia="宋体" w:cs="宋体"/>
          <w:kern w:val="0"/>
          <w:szCs w:val="21"/>
        </w:rPr>
        <w:t>    本公司（联合体）郑重声明，根据《政府采购促进中小企业发展管理办法》（财库﹝2020﹞46 号）的规定，本公司（联合体）参加</w:t>
      </w:r>
      <w:r>
        <w:rPr>
          <w:rFonts w:hint="eastAsia" w:ascii="宋体" w:hAnsi="宋体" w:eastAsia="宋体" w:cs="宋体"/>
          <w:kern w:val="0"/>
          <w:szCs w:val="21"/>
          <w:u w:val="single"/>
        </w:rPr>
        <w:t>（单位名称）</w:t>
      </w:r>
      <w:r>
        <w:rPr>
          <w:rFonts w:hint="eastAsia" w:ascii="宋体" w:hAnsi="宋体" w:eastAsia="宋体" w:cs="宋体"/>
          <w:kern w:val="0"/>
          <w:szCs w:val="21"/>
        </w:rPr>
        <w:t>的</w:t>
      </w:r>
      <w:r>
        <w:rPr>
          <w:rFonts w:hint="eastAsia" w:ascii="宋体" w:hAnsi="宋体" w:eastAsia="宋体" w:cs="宋体"/>
          <w:kern w:val="0"/>
          <w:szCs w:val="21"/>
          <w:u w:val="single"/>
        </w:rPr>
        <w:t>（项目名称）</w:t>
      </w:r>
      <w:r>
        <w:rPr>
          <w:rFonts w:hint="eastAsia" w:ascii="宋体" w:hAnsi="宋体" w:eastAsia="宋体" w:cs="宋体"/>
          <w:kern w:val="0"/>
          <w:szCs w:val="21"/>
        </w:rPr>
        <w:t>采购活动，工程的施工单位全部为符合政策要求的中小企业（或者：服务全部由符合政策要求的中小企业承接）。相关企业（含联合体中的中小企业、签订分包意向协议的中小企业）的具体情况如下：</w:t>
      </w:r>
    </w:p>
    <w:p w14:paraId="6E0134D7">
      <w:pPr>
        <w:widowControl/>
        <w:spacing w:before="75" w:after="75"/>
        <w:ind w:firstLine="420"/>
        <w:jc w:val="left"/>
        <w:rPr>
          <w:rFonts w:ascii="宋体" w:hAnsi="宋体" w:eastAsia="宋体" w:cs="宋体"/>
          <w:kern w:val="0"/>
          <w:sz w:val="24"/>
          <w:szCs w:val="24"/>
        </w:rPr>
      </w:pPr>
      <w:r>
        <w:rPr>
          <w:rFonts w:hint="eastAsia" w:ascii="宋体" w:hAnsi="宋体" w:eastAsia="宋体" w:cs="宋体"/>
          <w:kern w:val="0"/>
          <w:szCs w:val="21"/>
        </w:rPr>
        <w:t>1.</w:t>
      </w:r>
      <w:r>
        <w:rPr>
          <w:rFonts w:hint="eastAsia" w:ascii="宋体" w:hAnsi="宋体" w:eastAsia="宋体" w:cs="宋体"/>
          <w:kern w:val="0"/>
          <w:szCs w:val="21"/>
          <w:u w:val="single"/>
        </w:rPr>
        <w:t> （标的名称）</w:t>
      </w:r>
      <w:r>
        <w:rPr>
          <w:rFonts w:hint="eastAsia" w:ascii="宋体" w:hAnsi="宋体" w:eastAsia="宋体" w:cs="宋体"/>
          <w:kern w:val="0"/>
          <w:szCs w:val="21"/>
        </w:rPr>
        <w:t>，属于</w:t>
      </w:r>
      <w:r>
        <w:rPr>
          <w:rFonts w:hint="eastAsia" w:ascii="宋体" w:hAnsi="宋体" w:eastAsia="宋体" w:cs="宋体"/>
          <w:kern w:val="0"/>
          <w:szCs w:val="21"/>
          <w:u w:val="single"/>
        </w:rPr>
        <w:t>（采购文件中明确的所属行业）</w:t>
      </w:r>
      <w:r>
        <w:rPr>
          <w:rFonts w:hint="eastAsia" w:ascii="宋体" w:hAnsi="宋体" w:eastAsia="宋体" w:cs="宋体"/>
          <w:kern w:val="0"/>
          <w:szCs w:val="21"/>
        </w:rPr>
        <w:t>；承建（承接）企业为</w:t>
      </w:r>
      <w:r>
        <w:rPr>
          <w:rFonts w:hint="eastAsia" w:ascii="宋体" w:hAnsi="宋体" w:eastAsia="宋体" w:cs="宋体"/>
          <w:kern w:val="0"/>
          <w:szCs w:val="21"/>
          <w:u w:val="single"/>
        </w:rPr>
        <w:t>（企业名称）</w:t>
      </w:r>
      <w:r>
        <w:rPr>
          <w:rFonts w:hint="eastAsia" w:ascii="宋体" w:hAnsi="宋体" w:eastAsia="宋体" w:cs="宋体"/>
          <w:kern w:val="0"/>
          <w:szCs w:val="21"/>
        </w:rPr>
        <w:t>，从业人员</w:t>
      </w:r>
      <w:r>
        <w:rPr>
          <w:rFonts w:hint="eastAsia" w:ascii="宋体" w:hAnsi="宋体" w:eastAsia="宋体" w:cs="宋体"/>
          <w:kern w:val="0"/>
          <w:szCs w:val="21"/>
          <w:u w:val="single"/>
        </w:rPr>
        <w:t>  </w:t>
      </w:r>
      <w:r>
        <w:rPr>
          <w:rFonts w:hint="eastAsia" w:ascii="宋体" w:hAnsi="宋体" w:eastAsia="宋体" w:cs="宋体"/>
          <w:kern w:val="0"/>
          <w:szCs w:val="21"/>
        </w:rPr>
        <w:t>人，营业收入为</w:t>
      </w:r>
      <w:r>
        <w:rPr>
          <w:rFonts w:hint="eastAsia" w:ascii="宋体" w:hAnsi="宋体" w:eastAsia="宋体" w:cs="宋体"/>
          <w:kern w:val="0"/>
          <w:szCs w:val="21"/>
          <w:u w:val="single"/>
        </w:rPr>
        <w:t>  </w:t>
      </w:r>
      <w:r>
        <w:rPr>
          <w:rFonts w:hint="eastAsia" w:ascii="宋体" w:hAnsi="宋体" w:eastAsia="宋体" w:cs="宋体"/>
          <w:kern w:val="0"/>
          <w:szCs w:val="21"/>
        </w:rPr>
        <w:t>万元，资产总额为</w:t>
      </w:r>
      <w:r>
        <w:rPr>
          <w:rFonts w:hint="eastAsia" w:ascii="宋体" w:hAnsi="宋体" w:eastAsia="宋体" w:cs="宋体"/>
          <w:kern w:val="0"/>
          <w:szCs w:val="21"/>
          <w:u w:val="single"/>
        </w:rPr>
        <w:t>  </w:t>
      </w:r>
      <w:r>
        <w:rPr>
          <w:rFonts w:hint="eastAsia" w:ascii="宋体" w:hAnsi="宋体" w:eastAsia="宋体" w:cs="宋体"/>
          <w:kern w:val="0"/>
          <w:szCs w:val="21"/>
        </w:rPr>
        <w:t>万元</w:t>
      </w:r>
      <w:r>
        <w:rPr>
          <w:rFonts w:hint="eastAsia" w:ascii="宋体" w:hAnsi="宋体" w:eastAsia="宋体" w:cs="宋体"/>
          <w:kern w:val="0"/>
          <w:szCs w:val="21"/>
          <w:vertAlign w:val="superscript"/>
        </w:rPr>
        <w:t>1</w:t>
      </w:r>
      <w:r>
        <w:rPr>
          <w:rFonts w:hint="eastAsia" w:ascii="宋体" w:hAnsi="宋体" w:eastAsia="宋体" w:cs="宋体"/>
          <w:kern w:val="0"/>
          <w:szCs w:val="21"/>
        </w:rPr>
        <w:t>，属于</w:t>
      </w:r>
      <w:r>
        <w:rPr>
          <w:rFonts w:hint="eastAsia" w:ascii="宋体" w:hAnsi="宋体" w:eastAsia="宋体" w:cs="宋体"/>
          <w:kern w:val="0"/>
          <w:szCs w:val="21"/>
          <w:u w:val="single"/>
        </w:rPr>
        <w:t>（中型企业、小型企业、微型企业）</w:t>
      </w:r>
      <w:r>
        <w:rPr>
          <w:rFonts w:hint="eastAsia" w:ascii="宋体" w:hAnsi="宋体" w:eastAsia="宋体" w:cs="宋体"/>
          <w:kern w:val="0"/>
          <w:szCs w:val="21"/>
        </w:rPr>
        <w:t>；</w:t>
      </w:r>
    </w:p>
    <w:p w14:paraId="28122DB6">
      <w:pPr>
        <w:widowControl/>
        <w:spacing w:before="75" w:after="75"/>
        <w:jc w:val="left"/>
        <w:rPr>
          <w:rFonts w:ascii="宋体" w:hAnsi="宋体" w:eastAsia="宋体" w:cs="宋体"/>
          <w:kern w:val="0"/>
          <w:sz w:val="24"/>
          <w:szCs w:val="24"/>
        </w:rPr>
      </w:pPr>
      <w:r>
        <w:rPr>
          <w:rFonts w:hint="eastAsia" w:ascii="宋体" w:hAnsi="宋体" w:eastAsia="宋体" w:cs="宋体"/>
          <w:kern w:val="0"/>
          <w:szCs w:val="21"/>
        </w:rPr>
        <w:t> 　2.</w:t>
      </w:r>
      <w:r>
        <w:rPr>
          <w:rFonts w:hint="eastAsia" w:ascii="宋体" w:hAnsi="宋体" w:eastAsia="宋体" w:cs="宋体"/>
          <w:kern w:val="0"/>
          <w:szCs w:val="21"/>
          <w:u w:val="single"/>
        </w:rPr>
        <w:t> （标的名称）</w:t>
      </w:r>
      <w:r>
        <w:rPr>
          <w:rFonts w:hint="eastAsia" w:ascii="宋体" w:hAnsi="宋体" w:eastAsia="宋体" w:cs="宋体"/>
          <w:kern w:val="0"/>
          <w:szCs w:val="21"/>
        </w:rPr>
        <w:t>，属于</w:t>
      </w:r>
      <w:r>
        <w:rPr>
          <w:rFonts w:hint="eastAsia" w:ascii="宋体" w:hAnsi="宋体" w:eastAsia="宋体" w:cs="宋体"/>
          <w:kern w:val="0"/>
          <w:szCs w:val="21"/>
          <w:u w:val="single"/>
        </w:rPr>
        <w:t>（采购文件中明确的所属行业）</w:t>
      </w:r>
      <w:r>
        <w:rPr>
          <w:rFonts w:hint="eastAsia" w:ascii="宋体" w:hAnsi="宋体" w:eastAsia="宋体" w:cs="宋体"/>
          <w:kern w:val="0"/>
          <w:szCs w:val="21"/>
        </w:rPr>
        <w:t>；承建（承接）企业为</w:t>
      </w:r>
      <w:r>
        <w:rPr>
          <w:rFonts w:hint="eastAsia" w:ascii="宋体" w:hAnsi="宋体" w:eastAsia="宋体" w:cs="宋体"/>
          <w:kern w:val="0"/>
          <w:szCs w:val="21"/>
          <w:u w:val="single"/>
        </w:rPr>
        <w:t>（企业名称）</w:t>
      </w:r>
      <w:r>
        <w:rPr>
          <w:rFonts w:hint="eastAsia" w:ascii="宋体" w:hAnsi="宋体" w:eastAsia="宋体" w:cs="宋体"/>
          <w:kern w:val="0"/>
          <w:szCs w:val="21"/>
        </w:rPr>
        <w:t>，从业人员</w:t>
      </w:r>
      <w:r>
        <w:rPr>
          <w:rFonts w:hint="eastAsia" w:ascii="宋体" w:hAnsi="宋体" w:eastAsia="宋体" w:cs="宋体"/>
          <w:kern w:val="0"/>
          <w:szCs w:val="21"/>
          <w:u w:val="single"/>
        </w:rPr>
        <w:t>  </w:t>
      </w:r>
      <w:r>
        <w:rPr>
          <w:rFonts w:hint="eastAsia" w:ascii="宋体" w:hAnsi="宋体" w:eastAsia="宋体" w:cs="宋体"/>
          <w:kern w:val="0"/>
          <w:szCs w:val="21"/>
        </w:rPr>
        <w:t>人，营业收入为</w:t>
      </w:r>
      <w:r>
        <w:rPr>
          <w:rFonts w:hint="eastAsia" w:ascii="宋体" w:hAnsi="宋体" w:eastAsia="宋体" w:cs="宋体"/>
          <w:kern w:val="0"/>
          <w:szCs w:val="21"/>
          <w:u w:val="single"/>
        </w:rPr>
        <w:t>  </w:t>
      </w:r>
      <w:r>
        <w:rPr>
          <w:rFonts w:hint="eastAsia" w:ascii="宋体" w:hAnsi="宋体" w:eastAsia="宋体" w:cs="宋体"/>
          <w:kern w:val="0"/>
          <w:szCs w:val="21"/>
        </w:rPr>
        <w:t>万元，资产总额为</w:t>
      </w:r>
      <w:r>
        <w:rPr>
          <w:rFonts w:hint="eastAsia" w:ascii="宋体" w:hAnsi="宋体" w:eastAsia="宋体" w:cs="宋体"/>
          <w:kern w:val="0"/>
          <w:szCs w:val="21"/>
          <w:u w:val="single"/>
        </w:rPr>
        <w:t>  </w:t>
      </w:r>
      <w:r>
        <w:rPr>
          <w:rFonts w:hint="eastAsia" w:ascii="宋体" w:hAnsi="宋体" w:eastAsia="宋体" w:cs="宋体"/>
          <w:kern w:val="0"/>
          <w:szCs w:val="21"/>
        </w:rPr>
        <w:t>万元，属于</w:t>
      </w:r>
      <w:r>
        <w:rPr>
          <w:rFonts w:hint="eastAsia" w:ascii="宋体" w:hAnsi="宋体" w:eastAsia="宋体" w:cs="宋体"/>
          <w:kern w:val="0"/>
          <w:szCs w:val="21"/>
          <w:u w:val="single"/>
        </w:rPr>
        <w:t>（中型企业、小型企业、微型企业）</w:t>
      </w:r>
      <w:r>
        <w:rPr>
          <w:rFonts w:hint="eastAsia" w:ascii="宋体" w:hAnsi="宋体" w:eastAsia="宋体" w:cs="宋体"/>
          <w:kern w:val="0"/>
          <w:szCs w:val="21"/>
        </w:rPr>
        <w:t>；</w:t>
      </w:r>
    </w:p>
    <w:p w14:paraId="37D136A3">
      <w:pPr>
        <w:widowControl/>
        <w:spacing w:before="75" w:after="75"/>
        <w:jc w:val="left"/>
        <w:rPr>
          <w:rFonts w:ascii="宋体" w:hAnsi="宋体" w:eastAsia="宋体" w:cs="宋体"/>
          <w:kern w:val="0"/>
          <w:sz w:val="24"/>
          <w:szCs w:val="24"/>
        </w:rPr>
      </w:pPr>
      <w:r>
        <w:rPr>
          <w:rFonts w:hint="eastAsia" w:ascii="宋体" w:hAnsi="宋体" w:eastAsia="宋体" w:cs="宋体"/>
          <w:kern w:val="0"/>
          <w:szCs w:val="21"/>
        </w:rPr>
        <w:t> </w:t>
      </w:r>
    </w:p>
    <w:p w14:paraId="33AD1861">
      <w:pPr>
        <w:widowControl/>
        <w:spacing w:before="75" w:after="75"/>
        <w:jc w:val="left"/>
        <w:rPr>
          <w:rFonts w:ascii="宋体" w:hAnsi="宋体" w:eastAsia="宋体" w:cs="宋体"/>
          <w:kern w:val="0"/>
          <w:sz w:val="24"/>
          <w:szCs w:val="24"/>
        </w:rPr>
      </w:pPr>
      <w:r>
        <w:rPr>
          <w:rFonts w:hint="eastAsia" w:ascii="宋体" w:hAnsi="宋体" w:eastAsia="宋体" w:cs="宋体"/>
          <w:kern w:val="0"/>
          <w:szCs w:val="21"/>
        </w:rPr>
        <w:t>……</w:t>
      </w:r>
    </w:p>
    <w:p w14:paraId="186D7CA1">
      <w:pPr>
        <w:widowControl/>
        <w:spacing w:before="75" w:after="75"/>
        <w:jc w:val="left"/>
        <w:rPr>
          <w:rFonts w:ascii="宋体" w:hAnsi="宋体" w:eastAsia="宋体" w:cs="宋体"/>
          <w:kern w:val="0"/>
          <w:sz w:val="24"/>
          <w:szCs w:val="24"/>
        </w:rPr>
      </w:pPr>
      <w:r>
        <w:rPr>
          <w:rFonts w:hint="eastAsia" w:ascii="宋体" w:hAnsi="宋体" w:eastAsia="宋体" w:cs="宋体"/>
          <w:kern w:val="0"/>
          <w:szCs w:val="21"/>
        </w:rPr>
        <w:t> </w:t>
      </w:r>
    </w:p>
    <w:p w14:paraId="02926BC6">
      <w:pPr>
        <w:widowControl/>
        <w:spacing w:before="75" w:after="75"/>
        <w:jc w:val="left"/>
        <w:rPr>
          <w:rFonts w:ascii="宋体" w:hAnsi="宋体" w:eastAsia="宋体" w:cs="宋体"/>
          <w:kern w:val="0"/>
          <w:sz w:val="24"/>
          <w:szCs w:val="24"/>
        </w:rPr>
      </w:pPr>
      <w:r>
        <w:rPr>
          <w:rFonts w:hint="eastAsia" w:ascii="宋体" w:hAnsi="宋体" w:eastAsia="宋体" w:cs="宋体"/>
          <w:kern w:val="0"/>
          <w:szCs w:val="21"/>
        </w:rPr>
        <w:t>   以上企业，不属于大企业的分支机构，不存在控股股东为大企业的情形，也不存在与大企业的负责人为同一人的情形。</w:t>
      </w:r>
    </w:p>
    <w:p w14:paraId="596B3619">
      <w:pPr>
        <w:widowControl/>
        <w:spacing w:before="75" w:after="75"/>
        <w:jc w:val="left"/>
        <w:rPr>
          <w:rFonts w:ascii="宋体" w:hAnsi="宋体" w:eastAsia="宋体" w:cs="宋体"/>
          <w:kern w:val="0"/>
          <w:sz w:val="24"/>
          <w:szCs w:val="24"/>
        </w:rPr>
      </w:pPr>
      <w:r>
        <w:rPr>
          <w:rFonts w:hint="eastAsia" w:ascii="宋体" w:hAnsi="宋体" w:eastAsia="宋体" w:cs="宋体"/>
          <w:kern w:val="0"/>
          <w:szCs w:val="21"/>
        </w:rPr>
        <w:t> </w:t>
      </w:r>
    </w:p>
    <w:p w14:paraId="72A42B69">
      <w:pPr>
        <w:widowControl/>
        <w:spacing w:before="75" w:after="75"/>
        <w:jc w:val="left"/>
        <w:rPr>
          <w:rFonts w:ascii="宋体" w:hAnsi="宋体" w:eastAsia="宋体" w:cs="宋体"/>
          <w:kern w:val="0"/>
          <w:sz w:val="24"/>
          <w:szCs w:val="24"/>
        </w:rPr>
      </w:pPr>
      <w:r>
        <w:rPr>
          <w:rFonts w:hint="eastAsia" w:ascii="宋体" w:hAnsi="宋体" w:eastAsia="宋体" w:cs="宋体"/>
          <w:kern w:val="0"/>
          <w:szCs w:val="21"/>
        </w:rPr>
        <w:t>   本企业对上述声明内容的真实性负责。如有虚假，将依法承担相应责任。</w:t>
      </w:r>
    </w:p>
    <w:p w14:paraId="1CE643F9">
      <w:pPr>
        <w:widowControl/>
        <w:spacing w:before="75" w:after="75"/>
        <w:jc w:val="left"/>
        <w:rPr>
          <w:rFonts w:ascii="宋体" w:hAnsi="宋体" w:eastAsia="宋体" w:cs="宋体"/>
          <w:kern w:val="0"/>
          <w:sz w:val="24"/>
          <w:szCs w:val="24"/>
        </w:rPr>
      </w:pPr>
      <w:r>
        <w:rPr>
          <w:rFonts w:hint="eastAsia" w:ascii="宋体" w:hAnsi="宋体" w:eastAsia="宋体" w:cs="宋体"/>
          <w:kern w:val="0"/>
          <w:szCs w:val="21"/>
        </w:rPr>
        <w:t> </w:t>
      </w:r>
    </w:p>
    <w:p w14:paraId="6BFCA2FC">
      <w:pPr>
        <w:widowControl/>
        <w:spacing w:before="75" w:after="75"/>
        <w:jc w:val="left"/>
        <w:rPr>
          <w:rFonts w:ascii="宋体" w:hAnsi="宋体" w:eastAsia="宋体" w:cs="宋体"/>
          <w:kern w:val="0"/>
          <w:sz w:val="24"/>
          <w:szCs w:val="24"/>
        </w:rPr>
      </w:pPr>
      <w:r>
        <w:rPr>
          <w:rFonts w:hint="eastAsia" w:ascii="宋体" w:hAnsi="宋体" w:eastAsia="宋体" w:cs="宋体"/>
          <w:kern w:val="0"/>
          <w:szCs w:val="21"/>
        </w:rPr>
        <w:t>                                                         　　　　　　　　　　　　　　　　　　　　企业名称（盖章）：   </w:t>
      </w:r>
    </w:p>
    <w:p w14:paraId="7E5E8A62">
      <w:pPr>
        <w:widowControl/>
        <w:spacing w:before="75" w:after="75"/>
        <w:jc w:val="left"/>
        <w:rPr>
          <w:rFonts w:ascii="宋体" w:hAnsi="宋体" w:eastAsia="宋体" w:cs="宋体"/>
          <w:kern w:val="0"/>
          <w:sz w:val="24"/>
          <w:szCs w:val="24"/>
        </w:rPr>
      </w:pPr>
      <w:r>
        <w:rPr>
          <w:rFonts w:hint="eastAsia" w:ascii="宋体" w:hAnsi="宋体" w:eastAsia="宋体" w:cs="宋体"/>
          <w:kern w:val="0"/>
          <w:szCs w:val="21"/>
        </w:rPr>
        <w:t>                            日期：</w:t>
      </w:r>
    </w:p>
    <w:p w14:paraId="2A3CA495">
      <w:pPr>
        <w:widowControl/>
        <w:spacing w:before="75" w:after="75"/>
        <w:jc w:val="left"/>
        <w:rPr>
          <w:rFonts w:ascii="宋体" w:hAnsi="宋体" w:eastAsia="宋体" w:cs="宋体"/>
          <w:kern w:val="0"/>
          <w:sz w:val="24"/>
          <w:szCs w:val="24"/>
        </w:rPr>
      </w:pPr>
      <w:r>
        <w:rPr>
          <w:rFonts w:hint="eastAsia" w:ascii="宋体" w:hAnsi="宋体" w:eastAsia="宋体" w:cs="宋体"/>
          <w:kern w:val="0"/>
          <w:szCs w:val="21"/>
        </w:rPr>
        <w:t> </w:t>
      </w:r>
    </w:p>
    <w:p w14:paraId="45CBDABF">
      <w:pPr>
        <w:widowControl/>
        <w:spacing w:before="75" w:after="75"/>
        <w:ind w:firstLine="420"/>
        <w:jc w:val="left"/>
        <w:rPr>
          <w:rFonts w:ascii="宋体" w:hAnsi="宋体" w:eastAsia="宋体" w:cs="宋体"/>
          <w:kern w:val="0"/>
          <w:sz w:val="24"/>
          <w:szCs w:val="24"/>
        </w:rPr>
      </w:pPr>
      <w:r>
        <w:rPr>
          <w:rFonts w:hint="eastAsia" w:ascii="宋体" w:hAnsi="宋体" w:eastAsia="宋体" w:cs="宋体"/>
          <w:b/>
          <w:bCs/>
          <w:kern w:val="0"/>
          <w:szCs w:val="21"/>
        </w:rPr>
        <w:t>1、从业人员、营业收入、资产总额填报上一年度数据，无上一年度数据的新成立企业可不填报。</w:t>
      </w:r>
    </w:p>
    <w:p w14:paraId="65393B56">
      <w:pPr>
        <w:widowControl/>
        <w:spacing w:before="75" w:after="75"/>
        <w:ind w:firstLine="420"/>
        <w:jc w:val="left"/>
        <w:rPr>
          <w:rFonts w:ascii="宋体" w:hAnsi="宋体" w:eastAsia="宋体" w:cs="宋体"/>
          <w:kern w:val="0"/>
          <w:sz w:val="24"/>
          <w:szCs w:val="24"/>
        </w:rPr>
      </w:pPr>
      <w:r>
        <w:rPr>
          <w:rFonts w:hint="eastAsia" w:ascii="宋体" w:hAnsi="宋体" w:eastAsia="宋体" w:cs="宋体"/>
          <w:b/>
          <w:bCs/>
          <w:kern w:val="0"/>
          <w:szCs w:val="21"/>
        </w:rPr>
        <w:t>2、投标人须按招标文件第四章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4A6C12D2">
      <w:pPr>
        <w:widowControl/>
        <w:spacing w:before="75" w:after="75"/>
        <w:ind w:firstLine="420"/>
        <w:jc w:val="left"/>
        <w:rPr>
          <w:rFonts w:ascii="宋体" w:hAnsi="宋体" w:eastAsia="宋体" w:cs="宋体"/>
          <w:kern w:val="0"/>
          <w:sz w:val="24"/>
          <w:szCs w:val="24"/>
        </w:rPr>
      </w:pPr>
      <w:r>
        <w:rPr>
          <w:rFonts w:hint="eastAsia" w:ascii="宋体" w:hAnsi="宋体" w:eastAsia="宋体" w:cs="宋体"/>
          <w:b/>
          <w:bCs/>
          <w:kern w:val="0"/>
          <w:szCs w:val="21"/>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710F556A">
      <w:pPr>
        <w:widowControl/>
        <w:spacing w:after="150"/>
        <w:jc w:val="center"/>
        <w:rPr>
          <w:rFonts w:ascii="宋体" w:hAnsi="宋体" w:eastAsia="宋体" w:cs="宋体"/>
          <w:kern w:val="0"/>
          <w:sz w:val="24"/>
          <w:szCs w:val="24"/>
        </w:rPr>
      </w:pPr>
      <w:r>
        <w:rPr>
          <w:rFonts w:hint="eastAsia" w:ascii="宋体" w:hAnsi="宋体" w:eastAsia="宋体" w:cs="宋体"/>
          <w:b/>
          <w:bCs/>
          <w:kern w:val="0"/>
          <w:szCs w:val="21"/>
        </w:rPr>
        <w:t> </w:t>
      </w:r>
    </w:p>
    <w:p w14:paraId="139700C5">
      <w:pPr>
        <w:widowControl/>
        <w:spacing w:after="150"/>
        <w:jc w:val="left"/>
        <w:rPr>
          <w:rFonts w:ascii="宋体" w:hAnsi="宋体" w:eastAsia="宋体" w:cs="宋体"/>
          <w:kern w:val="0"/>
          <w:sz w:val="24"/>
          <w:szCs w:val="24"/>
        </w:rPr>
      </w:pPr>
      <w:r>
        <w:rPr>
          <w:rFonts w:ascii="Calibri" w:hAnsi="Calibri" w:eastAsia="宋体" w:cs="Calibri"/>
          <w:kern w:val="0"/>
          <w:szCs w:val="21"/>
        </w:rPr>
        <w:br w:type="textWrapping"/>
      </w:r>
      <w:r>
        <w:rPr>
          <w:rFonts w:ascii="Calibri" w:hAnsi="Calibri" w:eastAsia="宋体" w:cs="Calibri"/>
          <w:kern w:val="0"/>
          <w:szCs w:val="21"/>
        </w:rPr>
        <w:br w:type="textWrapping"/>
      </w:r>
      <w:r>
        <w:rPr>
          <w:rFonts w:ascii="Calibri" w:hAnsi="Calibri" w:eastAsia="宋体" w:cs="Calibri"/>
          <w:kern w:val="0"/>
          <w:szCs w:val="21"/>
        </w:rPr>
        <w:br w:type="textWrapping"/>
      </w:r>
      <w:r>
        <w:rPr>
          <w:rFonts w:ascii="Calibri" w:hAnsi="Calibri" w:eastAsia="宋体" w:cs="Calibri"/>
          <w:kern w:val="0"/>
          <w:szCs w:val="21"/>
        </w:rPr>
        <w:br w:type="textWrapping"/>
      </w:r>
    </w:p>
    <w:p w14:paraId="2C7EFB4A">
      <w:pPr>
        <w:widowControl/>
        <w:spacing w:after="150"/>
        <w:jc w:val="center"/>
        <w:rPr>
          <w:rFonts w:ascii="宋体" w:hAnsi="宋体" w:eastAsia="宋体" w:cs="宋体"/>
          <w:kern w:val="0"/>
          <w:sz w:val="24"/>
          <w:szCs w:val="24"/>
        </w:rPr>
      </w:pPr>
      <w:r>
        <w:rPr>
          <w:rFonts w:hint="eastAsia" w:ascii="宋体" w:hAnsi="宋体" w:eastAsia="宋体" w:cs="宋体"/>
          <w:b/>
          <w:bCs/>
          <w:kern w:val="0"/>
          <w:szCs w:val="21"/>
        </w:rPr>
        <w:t>三-2-②小型、微型企业等证明材料（价格扣除适用，若有）</w:t>
      </w:r>
    </w:p>
    <w:p w14:paraId="5A1A7186">
      <w:pPr>
        <w:widowControl/>
        <w:spacing w:after="150"/>
        <w:jc w:val="left"/>
        <w:rPr>
          <w:rFonts w:ascii="宋体" w:hAnsi="宋体" w:eastAsia="宋体" w:cs="宋体"/>
          <w:kern w:val="0"/>
          <w:sz w:val="24"/>
          <w:szCs w:val="24"/>
        </w:rPr>
      </w:pPr>
      <w:r>
        <w:rPr>
          <w:rFonts w:hint="eastAsia" w:ascii="宋体" w:hAnsi="宋体" w:eastAsia="宋体" w:cs="宋体"/>
          <w:b/>
          <w:bCs/>
          <w:kern w:val="0"/>
          <w:szCs w:val="21"/>
        </w:rPr>
        <w:t> </w:t>
      </w:r>
    </w:p>
    <w:p w14:paraId="4EDBD911">
      <w:pPr>
        <w:widowControl/>
        <w:spacing w:after="150"/>
        <w:jc w:val="left"/>
        <w:rPr>
          <w:rFonts w:ascii="宋体" w:hAnsi="宋体" w:eastAsia="宋体" w:cs="宋体"/>
          <w:kern w:val="0"/>
          <w:sz w:val="24"/>
          <w:szCs w:val="24"/>
        </w:rPr>
      </w:pPr>
      <w:r>
        <w:rPr>
          <w:rFonts w:hint="eastAsia" w:ascii="宋体" w:hAnsi="宋体" w:eastAsia="宋体" w:cs="宋体"/>
          <w:b/>
          <w:bCs/>
          <w:kern w:val="0"/>
          <w:szCs w:val="21"/>
        </w:rPr>
        <w:t> </w:t>
      </w:r>
    </w:p>
    <w:p w14:paraId="7176EC26">
      <w:pPr>
        <w:widowControl/>
        <w:spacing w:after="150"/>
        <w:jc w:val="center"/>
        <w:rPr>
          <w:rFonts w:ascii="宋体" w:hAnsi="宋体" w:eastAsia="宋体" w:cs="宋体"/>
          <w:kern w:val="0"/>
          <w:sz w:val="24"/>
          <w:szCs w:val="24"/>
        </w:rPr>
      </w:pPr>
      <w:r>
        <w:rPr>
          <w:rFonts w:hint="eastAsia" w:ascii="宋体" w:hAnsi="宋体" w:eastAsia="宋体" w:cs="宋体"/>
          <w:kern w:val="0"/>
          <w:szCs w:val="21"/>
        </w:rPr>
        <w:t>编制说明</w:t>
      </w:r>
    </w:p>
    <w:p w14:paraId="1C5806F2">
      <w:pPr>
        <w:widowControl/>
        <w:spacing w:after="150"/>
        <w:jc w:val="center"/>
        <w:rPr>
          <w:rFonts w:ascii="宋体" w:hAnsi="宋体" w:eastAsia="宋体" w:cs="宋体"/>
          <w:kern w:val="0"/>
          <w:sz w:val="24"/>
          <w:szCs w:val="24"/>
        </w:rPr>
      </w:pPr>
      <w:r>
        <w:rPr>
          <w:rFonts w:hint="eastAsia" w:ascii="宋体" w:hAnsi="宋体" w:eastAsia="宋体" w:cs="宋体"/>
          <w:kern w:val="0"/>
          <w:szCs w:val="21"/>
        </w:rPr>
        <w:t> </w:t>
      </w:r>
    </w:p>
    <w:p w14:paraId="31192DDD">
      <w:pPr>
        <w:widowControl/>
        <w:spacing w:after="150"/>
        <w:jc w:val="left"/>
        <w:rPr>
          <w:rFonts w:ascii="宋体" w:hAnsi="宋体" w:eastAsia="宋体" w:cs="宋体"/>
          <w:kern w:val="0"/>
          <w:sz w:val="24"/>
          <w:szCs w:val="24"/>
        </w:rPr>
      </w:pPr>
      <w:r>
        <w:rPr>
          <w:rFonts w:hint="eastAsia" w:ascii="宋体" w:hAnsi="宋体" w:eastAsia="宋体" w:cs="宋体"/>
          <w:kern w:val="0"/>
          <w:szCs w:val="21"/>
        </w:rPr>
        <w:t>1、投标人应按照招标文件要求提供相应证明材料，证明材料应与《中小企业声明函》的内容相一致，否则视为《中小企业声明函》内容不真实。</w:t>
      </w:r>
    </w:p>
    <w:p w14:paraId="1757C559">
      <w:pPr>
        <w:widowControl/>
        <w:spacing w:after="150"/>
        <w:jc w:val="left"/>
        <w:rPr>
          <w:rFonts w:ascii="宋体" w:hAnsi="宋体" w:eastAsia="宋体" w:cs="宋体"/>
          <w:kern w:val="0"/>
          <w:sz w:val="24"/>
          <w:szCs w:val="24"/>
        </w:rPr>
      </w:pPr>
      <w:r>
        <w:rPr>
          <w:rFonts w:hint="eastAsia" w:ascii="宋体" w:hAnsi="宋体" w:eastAsia="宋体" w:cs="宋体"/>
          <w:kern w:val="0"/>
          <w:szCs w:val="21"/>
        </w:rPr>
        <w:t>2、投标人为监狱企业的，根据其提供的由省级以上监狱管理局、戒毒管理局（含新疆生产建设兵团）出具的属于监狱企业的证明文件进行认定，监狱企业视同小型、微型企业。</w:t>
      </w:r>
    </w:p>
    <w:p w14:paraId="1A9A741F">
      <w:pPr>
        <w:widowControl/>
        <w:spacing w:after="150"/>
        <w:jc w:val="left"/>
        <w:rPr>
          <w:rFonts w:ascii="宋体" w:hAnsi="宋体" w:eastAsia="宋体" w:cs="宋体"/>
          <w:kern w:val="0"/>
          <w:sz w:val="24"/>
          <w:szCs w:val="24"/>
        </w:rPr>
      </w:pPr>
      <w:r>
        <w:rPr>
          <w:rFonts w:hint="eastAsia" w:ascii="宋体" w:hAnsi="宋体" w:eastAsia="宋体" w:cs="宋体"/>
          <w:kern w:val="0"/>
          <w:szCs w:val="21"/>
        </w:rPr>
        <w:t>3、投标人为残疾人福利性单位的，根据其提供的《残疾人福利性单位声明函》（格式附后）进行认定，残疾人福利性单位视同小型、微型企业。残疾人福利性单位属于小型、微型企业的，不重复享受政策。</w:t>
      </w:r>
    </w:p>
    <w:p w14:paraId="426BCF9C">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14:paraId="38B3CF93">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14:paraId="3D480236">
      <w:pPr>
        <w:widowControl/>
        <w:spacing w:after="150"/>
        <w:jc w:val="left"/>
        <w:rPr>
          <w:rFonts w:ascii="宋体" w:hAnsi="宋体" w:eastAsia="宋体" w:cs="宋体"/>
          <w:kern w:val="0"/>
          <w:sz w:val="24"/>
          <w:szCs w:val="24"/>
        </w:rPr>
      </w:pPr>
      <w:r>
        <w:rPr>
          <w:rFonts w:ascii="Calibri" w:hAnsi="Calibri" w:eastAsia="宋体" w:cs="Calibri"/>
          <w:kern w:val="0"/>
          <w:szCs w:val="21"/>
        </w:rPr>
        <w:br w:type="textWrapping"/>
      </w:r>
      <w:r>
        <w:rPr>
          <w:rFonts w:hint="eastAsia" w:ascii="宋体" w:hAnsi="宋体" w:eastAsia="宋体" w:cs="宋体"/>
          <w:kern w:val="0"/>
          <w:szCs w:val="21"/>
        </w:rPr>
        <w:t>附：</w:t>
      </w:r>
    </w:p>
    <w:p w14:paraId="1EA7B808">
      <w:pPr>
        <w:widowControl/>
        <w:spacing w:after="150"/>
        <w:jc w:val="center"/>
        <w:rPr>
          <w:rFonts w:ascii="宋体" w:hAnsi="宋体" w:eastAsia="宋体" w:cs="宋体"/>
          <w:kern w:val="0"/>
          <w:sz w:val="24"/>
          <w:szCs w:val="24"/>
        </w:rPr>
      </w:pPr>
      <w:r>
        <w:rPr>
          <w:rFonts w:hint="eastAsia" w:ascii="宋体" w:hAnsi="宋体" w:eastAsia="宋体" w:cs="宋体"/>
          <w:b/>
          <w:bCs/>
          <w:kern w:val="0"/>
          <w:szCs w:val="21"/>
        </w:rPr>
        <w:t>残疾人福利性单位声明函（价格扣除适用，若有）</w:t>
      </w:r>
    </w:p>
    <w:p w14:paraId="64C582CE">
      <w:pPr>
        <w:widowControl/>
        <w:spacing w:after="150"/>
        <w:jc w:val="left"/>
        <w:rPr>
          <w:rFonts w:ascii="宋体" w:hAnsi="宋体" w:eastAsia="宋体" w:cs="宋体"/>
          <w:kern w:val="0"/>
          <w:sz w:val="24"/>
          <w:szCs w:val="24"/>
        </w:rPr>
      </w:pPr>
      <w:r>
        <w:rPr>
          <w:rFonts w:hint="eastAsia" w:ascii="宋体" w:hAnsi="宋体" w:eastAsia="宋体" w:cs="宋体"/>
          <w:b/>
          <w:bCs/>
          <w:kern w:val="0"/>
          <w:szCs w:val="21"/>
        </w:rPr>
        <w:t> </w:t>
      </w:r>
    </w:p>
    <w:p w14:paraId="773CEC62">
      <w:pPr>
        <w:widowControl/>
        <w:spacing w:before="75" w:after="75"/>
        <w:ind w:firstLine="420"/>
        <w:jc w:val="left"/>
        <w:rPr>
          <w:rFonts w:ascii="宋体" w:hAnsi="宋体" w:eastAsia="宋体" w:cs="宋体"/>
          <w:kern w:val="0"/>
          <w:sz w:val="24"/>
          <w:szCs w:val="24"/>
        </w:rPr>
      </w:pPr>
      <w:r>
        <w:rPr>
          <w:rFonts w:hint="eastAsia" w:ascii="宋体" w:hAnsi="宋体" w:eastAsia="宋体" w:cs="宋体"/>
          <w:kern w:val="0"/>
          <w:szCs w:val="21"/>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w:t>
      </w:r>
      <w:r>
        <w:rPr>
          <w:rFonts w:hint="eastAsia" w:ascii="宋体" w:hAnsi="宋体" w:eastAsia="宋体" w:cs="宋体"/>
          <w:kern w:val="0"/>
          <w:szCs w:val="21"/>
          <w:u w:val="single"/>
        </w:rPr>
        <w:t>（填写“项目名称”）</w:t>
      </w:r>
      <w:r>
        <w:rPr>
          <w:rFonts w:hint="eastAsia" w:ascii="宋体" w:hAnsi="宋体" w:eastAsia="宋体" w:cs="宋体"/>
          <w:kern w:val="0"/>
          <w:szCs w:val="21"/>
        </w:rPr>
        <w:t>项目采购活动：</w:t>
      </w:r>
    </w:p>
    <w:p w14:paraId="0C218082">
      <w:pPr>
        <w:widowControl/>
        <w:spacing w:before="75" w:after="75"/>
        <w:ind w:firstLine="420"/>
        <w:jc w:val="left"/>
        <w:rPr>
          <w:rFonts w:ascii="宋体" w:hAnsi="宋体" w:eastAsia="宋体" w:cs="宋体"/>
          <w:kern w:val="0"/>
          <w:sz w:val="24"/>
          <w:szCs w:val="24"/>
        </w:rPr>
      </w:pPr>
      <w:r>
        <w:rPr>
          <w:rFonts w:hint="eastAsia" w:ascii="宋体" w:hAnsi="宋体" w:eastAsia="宋体" w:cs="宋体"/>
          <w:kern w:val="0"/>
          <w:szCs w:val="21"/>
        </w:rPr>
        <w:t>（ ）提供本投标人制造的</w:t>
      </w:r>
      <w:r>
        <w:rPr>
          <w:rFonts w:hint="eastAsia" w:ascii="宋体" w:hAnsi="宋体" w:eastAsia="宋体" w:cs="宋体"/>
          <w:kern w:val="0"/>
          <w:szCs w:val="21"/>
          <w:u w:val="single"/>
        </w:rPr>
        <w:t>（填写“所投采购包、品目号”）</w:t>
      </w:r>
      <w:r>
        <w:rPr>
          <w:rFonts w:hint="eastAsia" w:ascii="宋体" w:hAnsi="宋体" w:eastAsia="宋体" w:cs="宋体"/>
          <w:kern w:val="0"/>
          <w:szCs w:val="21"/>
        </w:rPr>
        <w:t>货物，或提供其他残疾人福利性单位制造的</w:t>
      </w:r>
      <w:r>
        <w:rPr>
          <w:rFonts w:hint="eastAsia" w:ascii="宋体" w:hAnsi="宋体" w:eastAsia="宋体" w:cs="宋体"/>
          <w:kern w:val="0"/>
          <w:szCs w:val="21"/>
          <w:u w:val="single"/>
        </w:rPr>
        <w:t>（填写“所投采购包、品目号”）</w:t>
      </w:r>
      <w:r>
        <w:rPr>
          <w:rFonts w:hint="eastAsia" w:ascii="宋体" w:hAnsi="宋体" w:eastAsia="宋体" w:cs="宋体"/>
          <w:kern w:val="0"/>
          <w:szCs w:val="21"/>
        </w:rPr>
        <w:t>货物（不包括使用非残疾人福利性单位注册商标的货物）。（说明：只有部分货物由残疾人福利企业制造的，在该货物后标</w:t>
      </w:r>
      <w:r>
        <w:rPr>
          <w:rFonts w:ascii="Segoe UI Symbol" w:hAnsi="Segoe UI Symbol" w:eastAsia="宋体" w:cs="宋体"/>
          <w:color w:val="333333"/>
          <w:kern w:val="0"/>
          <w:sz w:val="20"/>
          <w:szCs w:val="20"/>
          <w:shd w:val="clear" w:color="auto" w:fill="FFFFFF"/>
        </w:rPr>
        <w:t>★</w:t>
      </w:r>
      <w:r>
        <w:rPr>
          <w:rFonts w:hint="eastAsia" w:ascii="宋体" w:hAnsi="宋体" w:eastAsia="宋体" w:cs="宋体"/>
          <w:kern w:val="0"/>
          <w:szCs w:val="21"/>
        </w:rPr>
        <w:t>）</w:t>
      </w:r>
    </w:p>
    <w:p w14:paraId="03559141">
      <w:pPr>
        <w:widowControl/>
        <w:spacing w:before="75" w:after="75"/>
        <w:ind w:firstLine="420"/>
        <w:jc w:val="left"/>
        <w:rPr>
          <w:rFonts w:ascii="宋体" w:hAnsi="宋体" w:eastAsia="宋体" w:cs="宋体"/>
          <w:kern w:val="0"/>
          <w:sz w:val="24"/>
          <w:szCs w:val="24"/>
        </w:rPr>
      </w:pPr>
      <w:r>
        <w:rPr>
          <w:rFonts w:hint="eastAsia" w:ascii="宋体" w:hAnsi="宋体" w:eastAsia="宋体" w:cs="宋体"/>
          <w:kern w:val="0"/>
          <w:szCs w:val="21"/>
        </w:rPr>
        <w:t>（ ）由本投标人承建的</w:t>
      </w:r>
      <w:r>
        <w:rPr>
          <w:rFonts w:hint="eastAsia" w:ascii="宋体" w:hAnsi="宋体" w:eastAsia="宋体" w:cs="宋体"/>
          <w:kern w:val="0"/>
          <w:szCs w:val="21"/>
          <w:u w:val="single"/>
        </w:rPr>
        <w:t>（填写“所投采购包、品目号”）</w:t>
      </w:r>
      <w:r>
        <w:rPr>
          <w:rFonts w:hint="eastAsia" w:ascii="宋体" w:hAnsi="宋体" w:eastAsia="宋体" w:cs="宋体"/>
          <w:kern w:val="0"/>
          <w:szCs w:val="21"/>
        </w:rPr>
        <w:t>工程</w:t>
      </w:r>
    </w:p>
    <w:p w14:paraId="3FD3064A">
      <w:pPr>
        <w:widowControl/>
        <w:spacing w:before="75" w:after="75"/>
        <w:ind w:firstLine="420"/>
        <w:jc w:val="left"/>
        <w:rPr>
          <w:rFonts w:ascii="宋体" w:hAnsi="宋体" w:eastAsia="宋体" w:cs="宋体"/>
          <w:kern w:val="0"/>
          <w:sz w:val="24"/>
          <w:szCs w:val="24"/>
        </w:rPr>
      </w:pPr>
      <w:r>
        <w:rPr>
          <w:rFonts w:hint="eastAsia" w:ascii="宋体" w:hAnsi="宋体" w:eastAsia="宋体" w:cs="宋体"/>
          <w:kern w:val="0"/>
          <w:szCs w:val="21"/>
        </w:rPr>
        <w:t>（ ）由本投标人承接的</w:t>
      </w:r>
      <w:r>
        <w:rPr>
          <w:rFonts w:hint="eastAsia" w:ascii="宋体" w:hAnsi="宋体" w:eastAsia="宋体" w:cs="宋体"/>
          <w:kern w:val="0"/>
          <w:szCs w:val="21"/>
          <w:u w:val="single"/>
        </w:rPr>
        <w:t>（填写“所投采购包、品目号”）</w:t>
      </w:r>
      <w:r>
        <w:rPr>
          <w:rFonts w:hint="eastAsia" w:ascii="宋体" w:hAnsi="宋体" w:eastAsia="宋体" w:cs="宋体"/>
          <w:kern w:val="0"/>
          <w:szCs w:val="21"/>
        </w:rPr>
        <w:t>服务；</w:t>
      </w:r>
    </w:p>
    <w:p w14:paraId="4C38FEA7">
      <w:pPr>
        <w:widowControl/>
        <w:spacing w:before="75" w:after="75"/>
        <w:ind w:firstLine="420"/>
        <w:jc w:val="left"/>
        <w:rPr>
          <w:rFonts w:ascii="宋体" w:hAnsi="宋体" w:eastAsia="宋体" w:cs="宋体"/>
          <w:kern w:val="0"/>
          <w:sz w:val="24"/>
          <w:szCs w:val="24"/>
        </w:rPr>
      </w:pPr>
      <w:r>
        <w:rPr>
          <w:rFonts w:hint="eastAsia" w:ascii="宋体" w:hAnsi="宋体" w:eastAsia="宋体" w:cs="宋体"/>
          <w:kern w:val="0"/>
          <w:szCs w:val="21"/>
        </w:rPr>
        <w:t>本投标人对上述声明的真实性负责。如有虚假，将依法承担相应责任。</w:t>
      </w:r>
    </w:p>
    <w:p w14:paraId="0CA175CC">
      <w:pPr>
        <w:widowControl/>
        <w:spacing w:before="75" w:after="75"/>
        <w:ind w:firstLine="420"/>
        <w:jc w:val="left"/>
        <w:rPr>
          <w:rFonts w:ascii="宋体" w:hAnsi="宋体" w:eastAsia="宋体" w:cs="宋体"/>
          <w:kern w:val="0"/>
          <w:sz w:val="24"/>
          <w:szCs w:val="24"/>
        </w:rPr>
      </w:pPr>
      <w:r>
        <w:rPr>
          <w:rFonts w:ascii="Calibri" w:hAnsi="Calibri" w:eastAsia="宋体" w:cs="Calibri"/>
          <w:kern w:val="0"/>
          <w:szCs w:val="21"/>
        </w:rPr>
        <w:t> </w:t>
      </w:r>
    </w:p>
    <w:p w14:paraId="41B0CA5C">
      <w:pPr>
        <w:widowControl/>
        <w:spacing w:before="75" w:after="75"/>
        <w:jc w:val="left"/>
        <w:rPr>
          <w:rFonts w:ascii="宋体" w:hAnsi="宋体" w:eastAsia="宋体" w:cs="宋体"/>
          <w:kern w:val="0"/>
          <w:sz w:val="24"/>
          <w:szCs w:val="24"/>
        </w:rPr>
      </w:pPr>
      <w:r>
        <w:rPr>
          <w:rFonts w:hint="eastAsia" w:ascii="宋体" w:hAnsi="宋体" w:eastAsia="宋体" w:cs="宋体"/>
          <w:kern w:val="0"/>
          <w:szCs w:val="21"/>
        </w:rPr>
        <w:t>备注：</w:t>
      </w:r>
    </w:p>
    <w:p w14:paraId="55274C9A">
      <w:pPr>
        <w:widowControl/>
        <w:spacing w:before="75" w:after="75"/>
        <w:jc w:val="left"/>
        <w:rPr>
          <w:rFonts w:ascii="宋体" w:hAnsi="宋体" w:eastAsia="宋体" w:cs="宋体"/>
          <w:kern w:val="0"/>
          <w:sz w:val="24"/>
          <w:szCs w:val="24"/>
        </w:rPr>
      </w:pPr>
      <w:r>
        <w:rPr>
          <w:rFonts w:hint="eastAsia" w:ascii="宋体" w:hAnsi="宋体" w:eastAsia="宋体" w:cs="宋体"/>
          <w:kern w:val="0"/>
          <w:szCs w:val="21"/>
        </w:rPr>
        <w:t>1、请投标人按照实际情况编制填写本声明函，并在相应的（）中打“√”。</w:t>
      </w:r>
    </w:p>
    <w:p w14:paraId="0B692739">
      <w:pPr>
        <w:widowControl/>
        <w:spacing w:before="75" w:after="75"/>
        <w:jc w:val="left"/>
        <w:rPr>
          <w:rFonts w:ascii="宋体" w:hAnsi="宋体" w:eastAsia="宋体" w:cs="宋体"/>
          <w:kern w:val="0"/>
          <w:sz w:val="24"/>
          <w:szCs w:val="24"/>
        </w:rPr>
      </w:pPr>
      <w:r>
        <w:rPr>
          <w:rFonts w:hint="eastAsia" w:ascii="宋体" w:hAnsi="宋体" w:eastAsia="宋体" w:cs="宋体"/>
          <w:kern w:val="0"/>
          <w:szCs w:val="21"/>
        </w:rPr>
        <w:t>2、若《残疾人福利性单位声明函》内容不真实，</w:t>
      </w:r>
      <w:r>
        <w:rPr>
          <w:rFonts w:hint="eastAsia" w:ascii="宋体" w:hAnsi="宋体" w:eastAsia="宋体" w:cs="宋体"/>
          <w:b/>
          <w:bCs/>
          <w:kern w:val="0"/>
          <w:szCs w:val="21"/>
        </w:rPr>
        <w:t>视为提供虚假材料。</w:t>
      </w:r>
    </w:p>
    <w:p w14:paraId="38ED66D3">
      <w:pPr>
        <w:widowControl/>
        <w:spacing w:before="75" w:after="75"/>
        <w:jc w:val="left"/>
        <w:rPr>
          <w:rFonts w:ascii="宋体" w:hAnsi="宋体" w:eastAsia="宋体" w:cs="宋体"/>
          <w:kern w:val="0"/>
          <w:sz w:val="24"/>
          <w:szCs w:val="24"/>
        </w:rPr>
      </w:pPr>
      <w:r>
        <w:rPr>
          <w:rFonts w:hint="eastAsia" w:ascii="宋体" w:hAnsi="宋体" w:eastAsia="宋体" w:cs="宋体"/>
          <w:kern w:val="0"/>
          <w:szCs w:val="21"/>
        </w:rPr>
        <w:t> </w:t>
      </w:r>
    </w:p>
    <w:p w14:paraId="1A4B8EB6">
      <w:pPr>
        <w:widowControl/>
        <w:spacing w:before="75" w:after="75"/>
        <w:jc w:val="left"/>
        <w:rPr>
          <w:rFonts w:ascii="宋体" w:hAnsi="宋体" w:eastAsia="宋体" w:cs="宋体"/>
          <w:kern w:val="0"/>
          <w:sz w:val="24"/>
          <w:szCs w:val="24"/>
        </w:rPr>
      </w:pPr>
      <w:r>
        <w:rPr>
          <w:rFonts w:ascii="Calibri" w:hAnsi="Calibri" w:eastAsia="宋体" w:cs="Calibri"/>
          <w:kern w:val="0"/>
          <w:szCs w:val="21"/>
        </w:rPr>
        <w:t> </w:t>
      </w:r>
    </w:p>
    <w:p w14:paraId="2B944025">
      <w:pPr>
        <w:widowControl/>
        <w:spacing w:before="75" w:after="75"/>
        <w:jc w:val="left"/>
        <w:rPr>
          <w:rFonts w:ascii="宋体" w:hAnsi="宋体" w:eastAsia="宋体" w:cs="宋体"/>
          <w:kern w:val="0"/>
          <w:sz w:val="24"/>
          <w:szCs w:val="24"/>
        </w:rPr>
      </w:pPr>
      <w:r>
        <w:rPr>
          <w:rFonts w:hint="eastAsia" w:ascii="宋体" w:hAnsi="宋体" w:eastAsia="宋体" w:cs="宋体"/>
          <w:kern w:val="0"/>
          <w:szCs w:val="21"/>
        </w:rPr>
        <w:t>投标人：</w:t>
      </w:r>
      <w:r>
        <w:rPr>
          <w:rFonts w:hint="eastAsia" w:ascii="宋体" w:hAnsi="宋体" w:eastAsia="宋体" w:cs="宋体"/>
          <w:kern w:val="0"/>
          <w:szCs w:val="21"/>
          <w:u w:val="single"/>
        </w:rPr>
        <w:t>（全称并加盖单位公章）</w:t>
      </w:r>
    </w:p>
    <w:p w14:paraId="2D0E9D5E">
      <w:pPr>
        <w:widowControl/>
        <w:spacing w:before="75" w:after="75"/>
        <w:jc w:val="left"/>
        <w:rPr>
          <w:rFonts w:ascii="宋体" w:hAnsi="宋体" w:eastAsia="宋体" w:cs="宋体"/>
          <w:kern w:val="0"/>
          <w:sz w:val="24"/>
          <w:szCs w:val="24"/>
        </w:rPr>
      </w:pPr>
      <w:r>
        <w:rPr>
          <w:rFonts w:hint="eastAsia" w:ascii="宋体" w:hAnsi="宋体" w:eastAsia="宋体" w:cs="宋体"/>
          <w:kern w:val="0"/>
          <w:szCs w:val="21"/>
        </w:rPr>
        <w:t>日期：</w:t>
      </w:r>
      <w:r>
        <w:rPr>
          <w:rFonts w:hint="eastAsia" w:ascii="宋体" w:hAnsi="宋体" w:eastAsia="宋体" w:cs="宋体"/>
          <w:kern w:val="0"/>
          <w:szCs w:val="21"/>
          <w:u w:val="single"/>
        </w:rPr>
        <w:t>    </w:t>
      </w:r>
      <w:r>
        <w:rPr>
          <w:rFonts w:hint="eastAsia" w:ascii="宋体" w:hAnsi="宋体" w:eastAsia="宋体" w:cs="宋体"/>
          <w:kern w:val="0"/>
          <w:szCs w:val="21"/>
        </w:rPr>
        <w:t>年</w:t>
      </w:r>
      <w:r>
        <w:rPr>
          <w:rFonts w:hint="eastAsia" w:ascii="宋体" w:hAnsi="宋体" w:eastAsia="宋体" w:cs="宋体"/>
          <w:kern w:val="0"/>
          <w:szCs w:val="21"/>
          <w:u w:val="single"/>
        </w:rPr>
        <w:t>   </w:t>
      </w:r>
      <w:r>
        <w:rPr>
          <w:rFonts w:hint="eastAsia" w:ascii="宋体" w:hAnsi="宋体" w:eastAsia="宋体" w:cs="宋体"/>
          <w:kern w:val="0"/>
          <w:szCs w:val="21"/>
        </w:rPr>
        <w:t>月</w:t>
      </w:r>
      <w:r>
        <w:rPr>
          <w:rFonts w:hint="eastAsia" w:ascii="宋体" w:hAnsi="宋体" w:eastAsia="宋体" w:cs="宋体"/>
          <w:kern w:val="0"/>
          <w:szCs w:val="21"/>
          <w:u w:val="single"/>
        </w:rPr>
        <w:t>   </w:t>
      </w:r>
      <w:r>
        <w:rPr>
          <w:rFonts w:hint="eastAsia" w:ascii="宋体" w:hAnsi="宋体" w:eastAsia="宋体" w:cs="宋体"/>
          <w:kern w:val="0"/>
          <w:szCs w:val="21"/>
        </w:rPr>
        <w:t>日</w:t>
      </w:r>
      <w:r>
        <w:rPr>
          <w:rFonts w:hint="eastAsia" w:ascii="宋体" w:hAnsi="宋体" w:eastAsia="宋体" w:cs="宋体"/>
          <w:kern w:val="0"/>
          <w:szCs w:val="21"/>
        </w:rPr>
        <w:br w:type="textWrapping"/>
      </w:r>
      <w:r>
        <w:rPr>
          <w:rFonts w:hint="eastAsia" w:ascii="宋体" w:hAnsi="宋体" w:eastAsia="宋体" w:cs="宋体"/>
          <w:kern w:val="0"/>
          <w:szCs w:val="21"/>
        </w:rPr>
        <w:br w:type="textWrapping"/>
      </w:r>
    </w:p>
    <w:p w14:paraId="63E4AB4D">
      <w:pPr>
        <w:widowControl/>
        <w:ind w:firstLine="420"/>
        <w:jc w:val="left"/>
        <w:rPr>
          <w:rFonts w:ascii="宋体" w:hAnsi="宋体" w:eastAsia="宋体" w:cs="宋体"/>
          <w:kern w:val="0"/>
          <w:sz w:val="24"/>
          <w:szCs w:val="24"/>
        </w:rPr>
      </w:pPr>
      <w:r>
        <w:rPr>
          <w:rFonts w:hint="eastAsia" w:ascii="宋体" w:hAnsi="宋体" w:eastAsia="宋体" w:cs="宋体"/>
          <w:kern w:val="0"/>
          <w:szCs w:val="21"/>
        </w:rPr>
        <w:t>附：</w:t>
      </w:r>
    </w:p>
    <w:p w14:paraId="51D25685">
      <w:pPr>
        <w:widowControl/>
        <w:spacing w:before="75" w:after="75"/>
        <w:jc w:val="center"/>
        <w:rPr>
          <w:rFonts w:ascii="宋体" w:hAnsi="宋体" w:eastAsia="宋体" w:cs="宋体"/>
          <w:kern w:val="0"/>
          <w:sz w:val="24"/>
          <w:szCs w:val="24"/>
        </w:rPr>
      </w:pPr>
      <w:r>
        <w:rPr>
          <w:rFonts w:hint="eastAsia" w:ascii="宋体" w:hAnsi="宋体" w:eastAsia="宋体" w:cs="Calibri"/>
          <w:b/>
          <w:bCs/>
          <w:kern w:val="0"/>
          <w:sz w:val="24"/>
          <w:szCs w:val="24"/>
        </w:rPr>
        <w:t>监狱企业证明材料</w:t>
      </w:r>
    </w:p>
    <w:p w14:paraId="6ACAC3A4">
      <w:pPr>
        <w:widowControl/>
        <w:spacing w:before="75" w:after="75"/>
        <w:jc w:val="center"/>
        <w:rPr>
          <w:rFonts w:ascii="宋体" w:hAnsi="宋体" w:eastAsia="宋体" w:cs="宋体"/>
          <w:kern w:val="0"/>
          <w:sz w:val="24"/>
          <w:szCs w:val="24"/>
        </w:rPr>
      </w:pPr>
      <w:r>
        <w:rPr>
          <w:rFonts w:hint="eastAsia" w:ascii="宋体" w:hAnsi="宋体" w:eastAsia="宋体" w:cs="宋体"/>
          <w:b/>
          <w:bCs/>
          <w:kern w:val="0"/>
          <w:sz w:val="24"/>
          <w:szCs w:val="24"/>
        </w:rPr>
        <w:t> </w:t>
      </w:r>
    </w:p>
    <w:p w14:paraId="2853C4E3">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4"/>
          <w:szCs w:val="24"/>
        </w:rPr>
        <w:t>  投标人为监狱企业，提供本单位制造的货物（承接的服务），并在投标文件中提供省级以上监狱管理局、戒毒管理局（含新疆生产建设兵团）出具的属于监狱企业的证明文件。</w:t>
      </w:r>
    </w:p>
    <w:p w14:paraId="157E5E45">
      <w:pPr>
        <w:widowControl/>
        <w:spacing w:before="75" w:after="75"/>
        <w:jc w:val="left"/>
        <w:rPr>
          <w:rFonts w:ascii="宋体" w:hAnsi="宋体" w:eastAsia="宋体" w:cs="宋体"/>
          <w:kern w:val="0"/>
          <w:sz w:val="24"/>
          <w:szCs w:val="24"/>
        </w:rPr>
      </w:pPr>
      <w:r>
        <w:rPr>
          <w:rFonts w:hint="eastAsia" w:ascii="宋体" w:hAnsi="宋体" w:eastAsia="宋体" w:cs="宋体"/>
          <w:kern w:val="0"/>
          <w:szCs w:val="21"/>
        </w:rPr>
        <w:br w:type="textWrapping"/>
      </w:r>
      <w:r>
        <w:rPr>
          <w:rFonts w:hint="eastAsia" w:ascii="宋体" w:hAnsi="宋体" w:eastAsia="宋体" w:cs="宋体"/>
          <w:kern w:val="0"/>
          <w:szCs w:val="21"/>
        </w:rPr>
        <w:br w:type="textWrapping"/>
      </w:r>
      <w:r>
        <w:rPr>
          <w:rFonts w:hint="eastAsia" w:ascii="宋体" w:hAnsi="宋体" w:eastAsia="宋体" w:cs="宋体"/>
          <w:kern w:val="0"/>
          <w:szCs w:val="21"/>
        </w:rPr>
        <w:br w:type="textWrapping"/>
      </w:r>
      <w:r>
        <w:rPr>
          <w:rFonts w:hint="eastAsia" w:ascii="宋体" w:hAnsi="宋体" w:eastAsia="宋体" w:cs="宋体"/>
          <w:kern w:val="0"/>
          <w:szCs w:val="21"/>
        </w:rPr>
        <w:br w:type="textWrapping"/>
      </w:r>
    </w:p>
    <w:p w14:paraId="3E47E580">
      <w:pPr>
        <w:widowControl/>
        <w:spacing w:after="150"/>
        <w:jc w:val="center"/>
        <w:rPr>
          <w:rFonts w:ascii="宋体" w:hAnsi="宋体" w:eastAsia="宋体" w:cs="宋体"/>
          <w:kern w:val="0"/>
          <w:sz w:val="24"/>
          <w:szCs w:val="24"/>
        </w:rPr>
      </w:pPr>
      <w:r>
        <w:rPr>
          <w:rFonts w:ascii="Calibri" w:hAnsi="Calibri" w:eastAsia="宋体" w:cs="Calibri"/>
          <w:kern w:val="0"/>
          <w:szCs w:val="21"/>
        </w:rPr>
        <w:br w:type="textWrapping"/>
      </w:r>
      <w:r>
        <w:rPr>
          <w:rFonts w:hint="eastAsia" w:ascii="宋体" w:hAnsi="宋体" w:eastAsia="宋体" w:cs="宋体"/>
          <w:b/>
          <w:bCs/>
          <w:kern w:val="0"/>
          <w:szCs w:val="21"/>
        </w:rPr>
        <w:t>三-3招标文件规定的其他价格扣除证明材料（若有）</w:t>
      </w:r>
    </w:p>
    <w:p w14:paraId="017EA71D">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14:paraId="5CC500C0">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14:paraId="1314D5FC">
      <w:pPr>
        <w:widowControl/>
        <w:spacing w:after="150"/>
        <w:jc w:val="center"/>
        <w:rPr>
          <w:rFonts w:ascii="宋体" w:hAnsi="宋体" w:eastAsia="宋体" w:cs="宋体"/>
          <w:kern w:val="0"/>
          <w:sz w:val="24"/>
          <w:szCs w:val="24"/>
        </w:rPr>
      </w:pPr>
      <w:r>
        <w:rPr>
          <w:rFonts w:hint="eastAsia" w:ascii="宋体" w:hAnsi="宋体" w:eastAsia="宋体" w:cs="宋体"/>
          <w:kern w:val="0"/>
          <w:szCs w:val="21"/>
        </w:rPr>
        <w:t>编制说明</w:t>
      </w:r>
    </w:p>
    <w:p w14:paraId="2D379FD8">
      <w:pPr>
        <w:widowControl/>
        <w:spacing w:after="150"/>
        <w:jc w:val="center"/>
        <w:rPr>
          <w:rFonts w:ascii="宋体" w:hAnsi="宋体" w:eastAsia="宋体" w:cs="宋体"/>
          <w:kern w:val="0"/>
          <w:sz w:val="24"/>
          <w:szCs w:val="24"/>
        </w:rPr>
      </w:pPr>
      <w:r>
        <w:rPr>
          <w:rFonts w:hint="eastAsia" w:ascii="宋体" w:hAnsi="宋体" w:eastAsia="宋体" w:cs="宋体"/>
          <w:kern w:val="0"/>
          <w:szCs w:val="21"/>
        </w:rPr>
        <w:t> </w:t>
      </w:r>
    </w:p>
    <w:p w14:paraId="6350B873">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若投标人可享受招标文件规定的除</w:t>
      </w:r>
      <w:r>
        <w:rPr>
          <w:rFonts w:hint="eastAsia" w:ascii="宋体" w:hAnsi="宋体" w:eastAsia="宋体" w:cs="宋体"/>
          <w:b/>
          <w:bCs/>
          <w:kern w:val="0"/>
          <w:szCs w:val="21"/>
        </w:rPr>
        <w:t>“节能（非强制类）、环境标志产品价格扣除”及“小型、微型企业产品等价格扣除”</w:t>
      </w:r>
      <w:r>
        <w:rPr>
          <w:rFonts w:hint="eastAsia" w:ascii="宋体" w:hAnsi="宋体" w:eastAsia="宋体" w:cs="宋体"/>
          <w:kern w:val="0"/>
          <w:szCs w:val="21"/>
        </w:rPr>
        <w:t>外的其他价格扣除优惠，则投标人应按照招标文件要求提供相应证明材料。</w:t>
      </w:r>
    </w:p>
    <w:p w14:paraId="09391523">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14:paraId="62A88BA6">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r>
        <w:rPr>
          <w:rFonts w:hint="eastAsia" w:ascii="宋体" w:hAnsi="宋体" w:eastAsia="宋体" w:cs="宋体"/>
          <w:kern w:val="0"/>
          <w:szCs w:val="21"/>
        </w:rPr>
        <w:br w:type="textWrapping"/>
      </w:r>
      <w:r>
        <w:rPr>
          <w:rFonts w:hint="eastAsia" w:ascii="宋体" w:hAnsi="宋体" w:eastAsia="宋体" w:cs="宋体"/>
          <w:kern w:val="0"/>
          <w:szCs w:val="21"/>
        </w:rPr>
        <w:br w:type="textWrapping"/>
      </w:r>
      <w:r>
        <w:rPr>
          <w:rFonts w:hint="eastAsia" w:ascii="宋体" w:hAnsi="宋体" w:eastAsia="宋体" w:cs="宋体"/>
          <w:kern w:val="0"/>
          <w:szCs w:val="21"/>
        </w:rPr>
        <w:br w:type="textWrapping"/>
      </w:r>
      <w:r>
        <w:rPr>
          <w:rFonts w:hint="eastAsia" w:ascii="宋体" w:hAnsi="宋体" w:eastAsia="宋体" w:cs="宋体"/>
          <w:kern w:val="0"/>
          <w:szCs w:val="21"/>
        </w:rPr>
        <w:br w:type="textWrapping"/>
      </w:r>
      <w:r>
        <w:rPr>
          <w:rFonts w:hint="eastAsia" w:ascii="宋体" w:hAnsi="宋体" w:eastAsia="宋体" w:cs="宋体"/>
          <w:kern w:val="0"/>
          <w:szCs w:val="21"/>
        </w:rPr>
        <w:br w:type="textWrapping"/>
      </w:r>
      <w:r>
        <w:rPr>
          <w:rFonts w:hint="eastAsia" w:ascii="宋体" w:hAnsi="宋体" w:eastAsia="宋体" w:cs="宋体"/>
          <w:kern w:val="0"/>
          <w:szCs w:val="21"/>
        </w:rPr>
        <w:br w:type="textWrapping"/>
      </w:r>
    </w:p>
    <w:p w14:paraId="07A88488">
      <w:pPr>
        <w:widowControl/>
        <w:spacing w:after="150"/>
        <w:jc w:val="center"/>
        <w:rPr>
          <w:rFonts w:ascii="宋体" w:hAnsi="宋体" w:eastAsia="宋体" w:cs="宋体"/>
          <w:kern w:val="0"/>
          <w:sz w:val="24"/>
          <w:szCs w:val="24"/>
        </w:rPr>
      </w:pPr>
      <w:r>
        <w:rPr>
          <w:rFonts w:ascii="Calibri" w:hAnsi="Calibri" w:eastAsia="宋体" w:cs="Calibri"/>
          <w:kern w:val="0"/>
          <w:szCs w:val="21"/>
        </w:rPr>
        <w:br w:type="textWrapping"/>
      </w:r>
      <w:r>
        <w:rPr>
          <w:rFonts w:hint="eastAsia" w:ascii="宋体" w:hAnsi="宋体" w:eastAsia="宋体" w:cs="宋体"/>
          <w:b/>
          <w:bCs/>
          <w:kern w:val="0"/>
          <w:szCs w:val="21"/>
        </w:rPr>
        <w:t>四、招标文件规定的加分证明材料（若有）</w:t>
      </w:r>
    </w:p>
    <w:p w14:paraId="5FD048D0">
      <w:pPr>
        <w:widowControl/>
        <w:spacing w:after="150"/>
        <w:jc w:val="center"/>
        <w:rPr>
          <w:rFonts w:ascii="宋体" w:hAnsi="宋体" w:eastAsia="宋体" w:cs="宋体"/>
          <w:kern w:val="0"/>
          <w:sz w:val="24"/>
          <w:szCs w:val="24"/>
        </w:rPr>
      </w:pPr>
      <w:r>
        <w:rPr>
          <w:rFonts w:hint="eastAsia" w:ascii="宋体" w:hAnsi="宋体" w:eastAsia="宋体" w:cs="宋体"/>
          <w:kern w:val="0"/>
          <w:szCs w:val="21"/>
        </w:rPr>
        <w:t> </w:t>
      </w:r>
    </w:p>
    <w:p w14:paraId="4C25CEA8">
      <w:pPr>
        <w:widowControl/>
        <w:spacing w:after="150"/>
        <w:jc w:val="center"/>
        <w:rPr>
          <w:rFonts w:ascii="宋体" w:hAnsi="宋体" w:eastAsia="宋体" w:cs="宋体"/>
          <w:kern w:val="0"/>
          <w:sz w:val="24"/>
          <w:szCs w:val="24"/>
        </w:rPr>
      </w:pPr>
      <w:r>
        <w:rPr>
          <w:rFonts w:hint="eastAsia" w:ascii="宋体" w:hAnsi="宋体" w:eastAsia="宋体" w:cs="宋体"/>
          <w:b/>
          <w:bCs/>
          <w:kern w:val="0"/>
          <w:szCs w:val="21"/>
        </w:rPr>
        <w:t>四-1优先类节能产品、环境标志产品加分证明材料（若有）</w:t>
      </w:r>
    </w:p>
    <w:p w14:paraId="228D7BC7">
      <w:pPr>
        <w:widowControl/>
        <w:spacing w:after="150"/>
        <w:jc w:val="center"/>
        <w:rPr>
          <w:rFonts w:ascii="宋体" w:hAnsi="宋体" w:eastAsia="宋体" w:cs="宋体"/>
          <w:kern w:val="0"/>
          <w:sz w:val="24"/>
          <w:szCs w:val="24"/>
        </w:rPr>
      </w:pPr>
      <w:r>
        <w:rPr>
          <w:rFonts w:hint="eastAsia" w:ascii="宋体" w:hAnsi="宋体" w:eastAsia="宋体" w:cs="宋体"/>
          <w:b/>
          <w:bCs/>
          <w:kern w:val="0"/>
          <w:szCs w:val="21"/>
        </w:rPr>
        <w:t> </w:t>
      </w:r>
    </w:p>
    <w:p w14:paraId="4E8F579C">
      <w:pPr>
        <w:widowControl/>
        <w:spacing w:after="150"/>
        <w:jc w:val="center"/>
        <w:rPr>
          <w:rFonts w:ascii="宋体" w:hAnsi="宋体" w:eastAsia="宋体" w:cs="宋体"/>
          <w:kern w:val="0"/>
          <w:sz w:val="24"/>
          <w:szCs w:val="24"/>
        </w:rPr>
      </w:pPr>
      <w:r>
        <w:rPr>
          <w:rFonts w:hint="eastAsia" w:ascii="宋体" w:hAnsi="宋体" w:eastAsia="宋体" w:cs="宋体"/>
          <w:b/>
          <w:bCs/>
          <w:kern w:val="0"/>
          <w:szCs w:val="21"/>
        </w:rPr>
        <w:t>四-1-①优先类节能产品、环境标志产品统计表（加分适用，若有）</w:t>
      </w:r>
    </w:p>
    <w:p w14:paraId="26B25FA3">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14:paraId="023BE7FF">
      <w:pPr>
        <w:widowControl/>
        <w:spacing w:after="150"/>
        <w:jc w:val="left"/>
        <w:rPr>
          <w:rFonts w:ascii="宋体" w:hAnsi="宋体" w:eastAsia="宋体" w:cs="宋体"/>
          <w:kern w:val="0"/>
          <w:sz w:val="24"/>
          <w:szCs w:val="24"/>
        </w:rPr>
      </w:pPr>
      <w:r>
        <w:rPr>
          <w:rFonts w:hint="eastAsia" w:ascii="宋体" w:hAnsi="宋体" w:eastAsia="宋体" w:cs="宋体"/>
          <w:kern w:val="0"/>
          <w:szCs w:val="21"/>
        </w:rPr>
        <w:t>项目编号：</w:t>
      </w:r>
      <w:r>
        <w:rPr>
          <w:rFonts w:hint="eastAsia" w:ascii="宋体" w:hAnsi="宋体" w:eastAsia="宋体" w:cs="宋体"/>
          <w:kern w:val="0"/>
          <w:szCs w:val="21"/>
          <w:u w:val="single"/>
        </w:rPr>
        <w:t>                   </w:t>
      </w:r>
    </w:p>
    <w:p w14:paraId="5B85E188">
      <w:pPr>
        <w:widowControl/>
        <w:spacing w:after="150"/>
        <w:jc w:val="right"/>
        <w:rPr>
          <w:rFonts w:ascii="宋体" w:hAnsi="宋体" w:eastAsia="宋体" w:cs="宋体"/>
          <w:kern w:val="0"/>
          <w:sz w:val="24"/>
          <w:szCs w:val="24"/>
        </w:rPr>
      </w:pPr>
      <w:r>
        <w:rPr>
          <w:rFonts w:hint="eastAsia" w:ascii="宋体" w:hAnsi="宋体" w:eastAsia="宋体" w:cs="宋体"/>
          <w:kern w:val="0"/>
          <w:szCs w:val="21"/>
        </w:rPr>
        <w:t>货币及单位：人民币元</w:t>
      </w:r>
    </w:p>
    <w:tbl>
      <w:tblPr>
        <w:tblStyle w:val="9"/>
        <w:tblW w:w="8520" w:type="dxa"/>
        <w:tblInd w:w="0" w:type="dxa"/>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1215"/>
        <w:gridCol w:w="1215"/>
        <w:gridCol w:w="1215"/>
        <w:gridCol w:w="1215"/>
        <w:gridCol w:w="1215"/>
        <w:gridCol w:w="1215"/>
        <w:gridCol w:w="1230"/>
      </w:tblGrid>
      <w:tr w14:paraId="3B25BBDE">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121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6455744">
            <w:pPr>
              <w:widowControl/>
              <w:jc w:val="left"/>
              <w:rPr>
                <w:rFonts w:ascii="宋体" w:hAnsi="宋体" w:eastAsia="宋体" w:cs="宋体"/>
                <w:kern w:val="0"/>
                <w:sz w:val="24"/>
                <w:szCs w:val="24"/>
              </w:rPr>
            </w:pPr>
          </w:p>
        </w:tc>
        <w:tc>
          <w:tcPr>
            <w:tcW w:w="7305" w:type="dxa"/>
            <w:gridSpan w:val="6"/>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8CA726A">
            <w:pPr>
              <w:widowControl/>
              <w:spacing w:after="150"/>
              <w:jc w:val="center"/>
              <w:rPr>
                <w:rFonts w:ascii="宋体" w:hAnsi="宋体" w:eastAsia="宋体" w:cs="宋体"/>
                <w:kern w:val="0"/>
                <w:sz w:val="24"/>
                <w:szCs w:val="24"/>
              </w:rPr>
            </w:pPr>
            <w:r>
              <w:rPr>
                <w:rFonts w:hint="eastAsia" w:ascii="宋体" w:hAnsi="宋体" w:eastAsia="宋体" w:cs="宋体"/>
                <w:kern w:val="0"/>
                <w:szCs w:val="21"/>
              </w:rPr>
              <w:t>本采购包内属于节能、环境标志产品的情况</w:t>
            </w:r>
          </w:p>
        </w:tc>
      </w:tr>
      <w:tr w14:paraId="6CF810D7">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12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FC6F9AD">
            <w:pPr>
              <w:widowControl/>
              <w:spacing w:after="150"/>
              <w:jc w:val="center"/>
              <w:rPr>
                <w:rFonts w:ascii="宋体" w:hAnsi="宋体" w:eastAsia="宋体" w:cs="宋体"/>
                <w:kern w:val="0"/>
                <w:sz w:val="24"/>
                <w:szCs w:val="24"/>
              </w:rPr>
            </w:pPr>
            <w:r>
              <w:rPr>
                <w:rFonts w:hint="eastAsia" w:ascii="宋体" w:hAnsi="宋体" w:eastAsia="宋体" w:cs="宋体"/>
                <w:kern w:val="0"/>
                <w:szCs w:val="21"/>
              </w:rPr>
              <w:t>采购包</w:t>
            </w: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F84A5B2">
            <w:pPr>
              <w:widowControl/>
              <w:spacing w:after="150"/>
              <w:jc w:val="center"/>
              <w:rPr>
                <w:rFonts w:ascii="宋体" w:hAnsi="宋体" w:eastAsia="宋体" w:cs="宋体"/>
                <w:kern w:val="0"/>
                <w:sz w:val="24"/>
                <w:szCs w:val="24"/>
              </w:rPr>
            </w:pPr>
            <w:r>
              <w:rPr>
                <w:rFonts w:hint="eastAsia" w:ascii="宋体" w:hAnsi="宋体" w:eastAsia="宋体" w:cs="宋体"/>
                <w:kern w:val="0"/>
                <w:szCs w:val="21"/>
              </w:rPr>
              <w:t>品目号</w:t>
            </w:r>
          </w:p>
        </w:tc>
        <w:tc>
          <w:tcPr>
            <w:tcW w:w="121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04AE9D7">
            <w:pPr>
              <w:widowControl/>
              <w:spacing w:after="150"/>
              <w:jc w:val="center"/>
              <w:rPr>
                <w:rFonts w:ascii="宋体" w:hAnsi="宋体" w:eastAsia="宋体" w:cs="宋体"/>
                <w:kern w:val="0"/>
                <w:sz w:val="24"/>
                <w:szCs w:val="24"/>
              </w:rPr>
            </w:pPr>
            <w:r>
              <w:rPr>
                <w:rFonts w:hint="eastAsia" w:ascii="宋体" w:hAnsi="宋体" w:eastAsia="宋体" w:cs="宋体"/>
                <w:kern w:val="0"/>
                <w:szCs w:val="21"/>
              </w:rPr>
              <w:t>货物名称</w:t>
            </w:r>
          </w:p>
        </w:tc>
        <w:tc>
          <w:tcPr>
            <w:tcW w:w="121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DD7B8DA">
            <w:pPr>
              <w:widowControl/>
              <w:spacing w:after="150"/>
              <w:jc w:val="center"/>
              <w:rPr>
                <w:rFonts w:ascii="宋体" w:hAnsi="宋体" w:eastAsia="宋体" w:cs="宋体"/>
                <w:kern w:val="0"/>
                <w:sz w:val="24"/>
                <w:szCs w:val="24"/>
              </w:rPr>
            </w:pPr>
            <w:r>
              <w:rPr>
                <w:rFonts w:hint="eastAsia" w:ascii="宋体" w:hAnsi="宋体" w:eastAsia="宋体" w:cs="宋体"/>
                <w:kern w:val="0"/>
                <w:szCs w:val="21"/>
              </w:rPr>
              <w:t>单价</w:t>
            </w:r>
          </w:p>
          <w:p w14:paraId="3EACD53C">
            <w:pPr>
              <w:widowControl/>
              <w:spacing w:after="150"/>
              <w:jc w:val="center"/>
              <w:rPr>
                <w:rFonts w:ascii="宋体" w:hAnsi="宋体" w:eastAsia="宋体" w:cs="宋体"/>
                <w:kern w:val="0"/>
                <w:sz w:val="24"/>
                <w:szCs w:val="24"/>
              </w:rPr>
            </w:pPr>
            <w:r>
              <w:rPr>
                <w:rFonts w:hint="eastAsia" w:ascii="宋体" w:hAnsi="宋体" w:eastAsia="宋体" w:cs="宋体"/>
                <w:kern w:val="0"/>
                <w:szCs w:val="21"/>
              </w:rPr>
              <w:t>（现场）</w:t>
            </w:r>
          </w:p>
        </w:tc>
        <w:tc>
          <w:tcPr>
            <w:tcW w:w="121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D7A6BE8">
            <w:pPr>
              <w:widowControl/>
              <w:spacing w:after="150"/>
              <w:jc w:val="center"/>
              <w:rPr>
                <w:rFonts w:ascii="宋体" w:hAnsi="宋体" w:eastAsia="宋体" w:cs="宋体"/>
                <w:kern w:val="0"/>
                <w:sz w:val="24"/>
                <w:szCs w:val="24"/>
              </w:rPr>
            </w:pPr>
            <w:r>
              <w:rPr>
                <w:rFonts w:hint="eastAsia" w:ascii="宋体" w:hAnsi="宋体" w:eastAsia="宋体" w:cs="宋体"/>
                <w:kern w:val="0"/>
                <w:szCs w:val="21"/>
              </w:rPr>
              <w:t>数量</w:t>
            </w:r>
          </w:p>
        </w:tc>
        <w:tc>
          <w:tcPr>
            <w:tcW w:w="121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5B38AE3">
            <w:pPr>
              <w:widowControl/>
              <w:spacing w:after="150"/>
              <w:jc w:val="center"/>
              <w:rPr>
                <w:rFonts w:ascii="宋体" w:hAnsi="宋体" w:eastAsia="宋体" w:cs="宋体"/>
                <w:kern w:val="0"/>
                <w:sz w:val="24"/>
                <w:szCs w:val="24"/>
              </w:rPr>
            </w:pPr>
            <w:r>
              <w:rPr>
                <w:rFonts w:hint="eastAsia" w:ascii="宋体" w:hAnsi="宋体" w:eastAsia="宋体" w:cs="宋体"/>
                <w:kern w:val="0"/>
                <w:szCs w:val="21"/>
              </w:rPr>
              <w:t>总价</w:t>
            </w:r>
          </w:p>
          <w:p w14:paraId="174D06B7">
            <w:pPr>
              <w:widowControl/>
              <w:spacing w:after="150"/>
              <w:jc w:val="center"/>
              <w:rPr>
                <w:rFonts w:ascii="宋体" w:hAnsi="宋体" w:eastAsia="宋体" w:cs="宋体"/>
                <w:kern w:val="0"/>
                <w:sz w:val="24"/>
                <w:szCs w:val="24"/>
              </w:rPr>
            </w:pPr>
            <w:r>
              <w:rPr>
                <w:rFonts w:hint="eastAsia" w:ascii="宋体" w:hAnsi="宋体" w:eastAsia="宋体" w:cs="宋体"/>
                <w:kern w:val="0"/>
                <w:szCs w:val="21"/>
              </w:rPr>
              <w:t>（现场）</w:t>
            </w:r>
          </w:p>
        </w:tc>
        <w:tc>
          <w:tcPr>
            <w:tcW w:w="121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27CA207">
            <w:pPr>
              <w:widowControl/>
              <w:spacing w:after="150"/>
              <w:jc w:val="center"/>
              <w:rPr>
                <w:rFonts w:ascii="宋体" w:hAnsi="宋体" w:eastAsia="宋体" w:cs="宋体"/>
                <w:kern w:val="0"/>
                <w:sz w:val="24"/>
                <w:szCs w:val="24"/>
              </w:rPr>
            </w:pPr>
            <w:r>
              <w:rPr>
                <w:rFonts w:hint="eastAsia" w:ascii="宋体" w:hAnsi="宋体" w:eastAsia="宋体" w:cs="宋体"/>
                <w:kern w:val="0"/>
                <w:szCs w:val="21"/>
              </w:rPr>
              <w:t>认证种类</w:t>
            </w:r>
          </w:p>
        </w:tc>
      </w:tr>
      <w:tr w14:paraId="69F37330">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1215"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CCD5AD6">
            <w:pPr>
              <w:widowControl/>
              <w:spacing w:after="150"/>
              <w:jc w:val="center"/>
              <w:rPr>
                <w:rFonts w:ascii="宋体" w:hAnsi="宋体" w:eastAsia="宋体" w:cs="宋体"/>
                <w:kern w:val="0"/>
                <w:sz w:val="24"/>
                <w:szCs w:val="24"/>
              </w:rPr>
            </w:pPr>
            <w:r>
              <w:rPr>
                <w:rFonts w:hint="eastAsia" w:ascii="宋体" w:hAnsi="宋体" w:eastAsia="宋体" w:cs="宋体"/>
                <w:kern w:val="0"/>
                <w:szCs w:val="21"/>
              </w:rPr>
              <w:t>*</w:t>
            </w: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C27C099">
            <w:pPr>
              <w:widowControl/>
              <w:spacing w:after="150"/>
              <w:jc w:val="center"/>
              <w:rPr>
                <w:rFonts w:ascii="宋体" w:hAnsi="宋体" w:eastAsia="宋体" w:cs="宋体"/>
                <w:kern w:val="0"/>
                <w:sz w:val="24"/>
                <w:szCs w:val="24"/>
              </w:rPr>
            </w:pPr>
            <w:r>
              <w:rPr>
                <w:rFonts w:hint="eastAsia" w:ascii="宋体" w:hAnsi="宋体" w:eastAsia="宋体" w:cs="宋体"/>
                <w:kern w:val="0"/>
                <w:szCs w:val="21"/>
              </w:rPr>
              <w:t>*-1</w:t>
            </w: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BB963C0">
            <w:pPr>
              <w:widowControl/>
              <w:jc w:val="left"/>
              <w:rPr>
                <w:rFonts w:ascii="宋体" w:hAnsi="宋体" w:eastAsia="宋体" w:cs="宋体"/>
                <w:kern w:val="0"/>
                <w:sz w:val="24"/>
                <w:szCs w:val="24"/>
              </w:rPr>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463BA42">
            <w:pPr>
              <w:widowControl/>
              <w:jc w:val="left"/>
              <w:rPr>
                <w:rFonts w:ascii="宋体" w:hAnsi="宋体" w:eastAsia="宋体" w:cs="宋体"/>
                <w:kern w:val="0"/>
                <w:sz w:val="24"/>
                <w:szCs w:val="24"/>
              </w:rPr>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CF56D74">
            <w:pPr>
              <w:widowControl/>
              <w:jc w:val="left"/>
              <w:rPr>
                <w:rFonts w:ascii="宋体" w:hAnsi="宋体" w:eastAsia="宋体" w:cs="宋体"/>
                <w:kern w:val="0"/>
                <w:sz w:val="24"/>
                <w:szCs w:val="24"/>
              </w:rPr>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B86DA5D">
            <w:pPr>
              <w:widowControl/>
              <w:jc w:val="left"/>
              <w:rPr>
                <w:rFonts w:ascii="宋体" w:hAnsi="宋体" w:eastAsia="宋体" w:cs="宋体"/>
                <w:kern w:val="0"/>
                <w:sz w:val="24"/>
                <w:szCs w:val="24"/>
              </w:rPr>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A598D4D">
            <w:pPr>
              <w:widowControl/>
              <w:jc w:val="left"/>
              <w:rPr>
                <w:rFonts w:ascii="宋体" w:hAnsi="宋体" w:eastAsia="宋体" w:cs="宋体"/>
                <w:kern w:val="0"/>
                <w:sz w:val="24"/>
                <w:szCs w:val="24"/>
              </w:rPr>
            </w:pPr>
          </w:p>
        </w:tc>
      </w:tr>
      <w:tr w14:paraId="59B3D47E">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0" w:type="auto"/>
            <w:vMerge w:val="continue"/>
            <w:tcBorders>
              <w:top w:val="nil"/>
              <w:left w:val="single" w:color="auto" w:sz="6" w:space="0"/>
              <w:bottom w:val="single" w:color="auto" w:sz="6" w:space="0"/>
              <w:right w:val="single" w:color="auto" w:sz="6" w:space="0"/>
            </w:tcBorders>
            <w:shd w:val="clear" w:color="auto" w:fill="auto"/>
            <w:vAlign w:val="center"/>
          </w:tcPr>
          <w:p w14:paraId="281D585C">
            <w:pPr>
              <w:widowControl/>
              <w:jc w:val="left"/>
              <w:rPr>
                <w:rFonts w:ascii="宋体" w:hAnsi="宋体" w:eastAsia="宋体" w:cs="宋体"/>
                <w:kern w:val="0"/>
                <w:sz w:val="24"/>
                <w:szCs w:val="24"/>
              </w:rPr>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B9D4114">
            <w:pPr>
              <w:widowControl/>
              <w:spacing w:after="150"/>
              <w:jc w:val="center"/>
              <w:rPr>
                <w:rFonts w:ascii="宋体" w:hAnsi="宋体" w:eastAsia="宋体" w:cs="宋体"/>
                <w:kern w:val="0"/>
                <w:sz w:val="24"/>
                <w:szCs w:val="24"/>
              </w:rPr>
            </w:pPr>
            <w:r>
              <w:rPr>
                <w:rFonts w:ascii="Calibri" w:hAnsi="Calibri" w:eastAsia="宋体" w:cs="Calibri"/>
                <w:kern w:val="0"/>
                <w:szCs w:val="21"/>
              </w:rPr>
              <w:t>…</w:t>
            </w: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6BC6F72">
            <w:pPr>
              <w:widowControl/>
              <w:jc w:val="left"/>
              <w:rPr>
                <w:rFonts w:ascii="宋体" w:hAnsi="宋体" w:eastAsia="宋体" w:cs="宋体"/>
                <w:kern w:val="0"/>
                <w:sz w:val="24"/>
                <w:szCs w:val="24"/>
              </w:rPr>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4714DD0">
            <w:pPr>
              <w:widowControl/>
              <w:jc w:val="left"/>
              <w:rPr>
                <w:rFonts w:ascii="宋体" w:hAnsi="宋体" w:eastAsia="宋体" w:cs="宋体"/>
                <w:kern w:val="0"/>
                <w:sz w:val="24"/>
                <w:szCs w:val="24"/>
              </w:rPr>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582A3FE">
            <w:pPr>
              <w:widowControl/>
              <w:jc w:val="left"/>
              <w:rPr>
                <w:rFonts w:ascii="宋体" w:hAnsi="宋体" w:eastAsia="宋体" w:cs="宋体"/>
                <w:kern w:val="0"/>
                <w:sz w:val="24"/>
                <w:szCs w:val="24"/>
              </w:rPr>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186A556">
            <w:pPr>
              <w:widowControl/>
              <w:jc w:val="left"/>
              <w:rPr>
                <w:rFonts w:ascii="宋体" w:hAnsi="宋体" w:eastAsia="宋体" w:cs="宋体"/>
                <w:kern w:val="0"/>
                <w:sz w:val="24"/>
                <w:szCs w:val="24"/>
              </w:rPr>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5C083CD">
            <w:pPr>
              <w:widowControl/>
              <w:jc w:val="left"/>
              <w:rPr>
                <w:rFonts w:ascii="宋体" w:hAnsi="宋体" w:eastAsia="宋体" w:cs="宋体"/>
                <w:kern w:val="0"/>
                <w:sz w:val="24"/>
                <w:szCs w:val="24"/>
              </w:rPr>
            </w:pPr>
          </w:p>
        </w:tc>
      </w:tr>
      <w:tr w14:paraId="3BE357E9">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12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7F95672">
            <w:pPr>
              <w:widowControl/>
              <w:spacing w:after="150"/>
              <w:jc w:val="center"/>
              <w:rPr>
                <w:rFonts w:ascii="宋体" w:hAnsi="宋体" w:eastAsia="宋体" w:cs="宋体"/>
                <w:kern w:val="0"/>
                <w:sz w:val="24"/>
                <w:szCs w:val="24"/>
              </w:rPr>
            </w:pPr>
            <w:r>
              <w:rPr>
                <w:rFonts w:hint="eastAsia" w:ascii="宋体" w:hAnsi="宋体" w:eastAsia="宋体" w:cs="宋体"/>
                <w:kern w:val="0"/>
                <w:szCs w:val="21"/>
              </w:rPr>
              <w:t>备注</w:t>
            </w:r>
          </w:p>
        </w:tc>
        <w:tc>
          <w:tcPr>
            <w:tcW w:w="7305" w:type="dxa"/>
            <w:gridSpan w:val="6"/>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65E09495">
            <w:pPr>
              <w:widowControl/>
              <w:spacing w:after="150"/>
              <w:jc w:val="left"/>
              <w:rPr>
                <w:rFonts w:ascii="宋体" w:hAnsi="宋体" w:eastAsia="宋体" w:cs="宋体"/>
                <w:kern w:val="0"/>
                <w:sz w:val="24"/>
                <w:szCs w:val="24"/>
              </w:rPr>
            </w:pPr>
            <w:r>
              <w:rPr>
                <w:rFonts w:hint="eastAsia" w:ascii="宋体" w:hAnsi="宋体" w:eastAsia="宋体" w:cs="宋体"/>
                <w:kern w:val="0"/>
                <w:szCs w:val="21"/>
              </w:rPr>
              <w:t>a.采购包内属于节能、环境标志产品的报价总金额：</w:t>
            </w:r>
            <w:r>
              <w:rPr>
                <w:rFonts w:hint="eastAsia" w:ascii="宋体" w:hAnsi="宋体" w:eastAsia="宋体" w:cs="宋体"/>
                <w:kern w:val="0"/>
                <w:szCs w:val="21"/>
                <w:u w:val="single"/>
              </w:rPr>
              <w:t>              </w:t>
            </w:r>
            <w:r>
              <w:rPr>
                <w:rFonts w:hint="eastAsia" w:ascii="宋体" w:hAnsi="宋体" w:eastAsia="宋体" w:cs="宋体"/>
                <w:kern w:val="0"/>
                <w:szCs w:val="21"/>
              </w:rPr>
              <w:t>；</w:t>
            </w:r>
          </w:p>
          <w:p w14:paraId="69F0F4DA">
            <w:pPr>
              <w:widowControl/>
              <w:spacing w:after="150"/>
              <w:jc w:val="left"/>
              <w:rPr>
                <w:rFonts w:ascii="宋体" w:hAnsi="宋体" w:eastAsia="宋体" w:cs="宋体"/>
                <w:kern w:val="0"/>
                <w:sz w:val="24"/>
                <w:szCs w:val="24"/>
              </w:rPr>
            </w:pPr>
            <w:r>
              <w:rPr>
                <w:rFonts w:hint="eastAsia" w:ascii="宋体" w:hAnsi="宋体" w:eastAsia="宋体" w:cs="宋体"/>
                <w:kern w:val="0"/>
                <w:szCs w:val="21"/>
              </w:rPr>
              <w:t>b.采购包投标总价（报价总金额）：</w:t>
            </w:r>
            <w:r>
              <w:rPr>
                <w:rFonts w:hint="eastAsia" w:ascii="宋体" w:hAnsi="宋体" w:eastAsia="宋体" w:cs="宋体"/>
                <w:kern w:val="0"/>
                <w:szCs w:val="21"/>
                <w:u w:val="single"/>
              </w:rPr>
              <w:t>              </w:t>
            </w:r>
            <w:r>
              <w:rPr>
                <w:rFonts w:hint="eastAsia" w:ascii="宋体" w:hAnsi="宋体" w:eastAsia="宋体" w:cs="宋体"/>
                <w:kern w:val="0"/>
                <w:szCs w:val="21"/>
              </w:rPr>
              <w:t>；</w:t>
            </w:r>
          </w:p>
          <w:p w14:paraId="160122DD">
            <w:pPr>
              <w:widowControl/>
              <w:spacing w:after="150"/>
              <w:jc w:val="left"/>
              <w:rPr>
                <w:rFonts w:ascii="宋体" w:hAnsi="宋体" w:eastAsia="宋体" w:cs="宋体"/>
                <w:kern w:val="0"/>
                <w:sz w:val="24"/>
                <w:szCs w:val="24"/>
              </w:rPr>
            </w:pPr>
            <w:r>
              <w:rPr>
                <w:rFonts w:hint="eastAsia" w:ascii="宋体" w:hAnsi="宋体" w:eastAsia="宋体" w:cs="宋体"/>
                <w:kern w:val="0"/>
                <w:szCs w:val="21"/>
              </w:rPr>
              <w:t>c.“采购包内属于节能、环境标志产品的报价总金额”占“采购包投标总价（报价总金额）”的比例（以</w:t>
            </w:r>
            <w:r>
              <w:rPr>
                <w:rFonts w:ascii="Calibri" w:hAnsi="Calibri" w:eastAsia="宋体" w:cs="Calibri"/>
                <w:kern w:val="0"/>
                <w:szCs w:val="21"/>
              </w:rPr>
              <w:t>%</w:t>
            </w:r>
            <w:r>
              <w:rPr>
                <w:rFonts w:hint="eastAsia" w:ascii="宋体" w:hAnsi="宋体" w:eastAsia="宋体" w:cs="宋体"/>
                <w:kern w:val="0"/>
                <w:szCs w:val="21"/>
              </w:rPr>
              <w:t>列示）：</w:t>
            </w:r>
            <w:r>
              <w:rPr>
                <w:rFonts w:hint="eastAsia" w:ascii="宋体" w:hAnsi="宋体" w:eastAsia="宋体" w:cs="宋体"/>
                <w:kern w:val="0"/>
                <w:szCs w:val="21"/>
                <w:u w:val="single"/>
              </w:rPr>
              <w:t>              </w:t>
            </w:r>
            <w:r>
              <w:rPr>
                <w:rFonts w:hint="eastAsia" w:ascii="宋体" w:hAnsi="宋体" w:eastAsia="宋体" w:cs="宋体"/>
                <w:kern w:val="0"/>
                <w:szCs w:val="21"/>
              </w:rPr>
              <w:t>。</w:t>
            </w:r>
          </w:p>
        </w:tc>
      </w:tr>
    </w:tbl>
    <w:p w14:paraId="5E04EA1F">
      <w:pPr>
        <w:widowControl/>
        <w:spacing w:after="150"/>
        <w:jc w:val="left"/>
        <w:rPr>
          <w:rFonts w:ascii="宋体" w:hAnsi="宋体" w:eastAsia="宋体" w:cs="宋体"/>
          <w:kern w:val="0"/>
          <w:sz w:val="24"/>
          <w:szCs w:val="24"/>
        </w:rPr>
      </w:pPr>
      <w:r>
        <w:rPr>
          <w:rFonts w:hint="eastAsia" w:ascii="宋体" w:hAnsi="宋体" w:eastAsia="宋体" w:cs="宋体"/>
          <w:kern w:val="0"/>
          <w:szCs w:val="21"/>
        </w:rPr>
        <w:t>※注意：</w:t>
      </w:r>
    </w:p>
    <w:p w14:paraId="0C541DDA">
      <w:pPr>
        <w:widowControl/>
        <w:spacing w:after="150"/>
        <w:jc w:val="left"/>
        <w:rPr>
          <w:rFonts w:ascii="宋体" w:hAnsi="宋体" w:eastAsia="宋体" w:cs="宋体"/>
          <w:kern w:val="0"/>
          <w:sz w:val="24"/>
          <w:szCs w:val="24"/>
        </w:rPr>
      </w:pPr>
      <w:r>
        <w:rPr>
          <w:rFonts w:hint="eastAsia" w:ascii="宋体" w:hAnsi="宋体" w:eastAsia="宋体" w:cs="宋体"/>
          <w:kern w:val="0"/>
          <w:szCs w:val="21"/>
        </w:rPr>
        <w:t>1、对节能、环境标志产品计算加分时，只依据投标文件</w:t>
      </w:r>
      <w:r>
        <w:rPr>
          <w:rFonts w:hint="eastAsia" w:ascii="宋体" w:hAnsi="宋体" w:eastAsia="宋体" w:cs="宋体"/>
          <w:b/>
          <w:bCs/>
          <w:kern w:val="0"/>
          <w:szCs w:val="21"/>
        </w:rPr>
        <w:t>“四</w:t>
      </w:r>
      <w:r>
        <w:rPr>
          <w:rFonts w:ascii="Calibri" w:hAnsi="Calibri" w:eastAsia="宋体" w:cs="Calibri"/>
          <w:b/>
          <w:bCs/>
          <w:kern w:val="0"/>
          <w:szCs w:val="21"/>
        </w:rPr>
        <w:t>-1-</w:t>
      </w:r>
      <w:r>
        <w:rPr>
          <w:rFonts w:hint="eastAsia" w:ascii="宋体" w:hAnsi="宋体" w:eastAsia="宋体" w:cs="宋体"/>
          <w:b/>
          <w:bCs/>
          <w:kern w:val="0"/>
          <w:szCs w:val="21"/>
        </w:rPr>
        <w:t>②优先类节能产品、环境标志产品加分证明材料（加分适用，若有）”。</w:t>
      </w:r>
    </w:p>
    <w:p w14:paraId="17BA1043">
      <w:pPr>
        <w:widowControl/>
        <w:spacing w:after="150"/>
        <w:jc w:val="left"/>
        <w:rPr>
          <w:rFonts w:ascii="宋体" w:hAnsi="宋体" w:eastAsia="宋体" w:cs="宋体"/>
          <w:kern w:val="0"/>
          <w:sz w:val="24"/>
          <w:szCs w:val="24"/>
        </w:rPr>
      </w:pPr>
      <w:r>
        <w:rPr>
          <w:rFonts w:hint="eastAsia" w:ascii="宋体" w:hAnsi="宋体" w:eastAsia="宋体" w:cs="宋体"/>
          <w:kern w:val="0"/>
          <w:szCs w:val="21"/>
        </w:rPr>
        <w:t>2、本表以采购包为单位，不同采购包请分别填写；同一采购包请按照其品目号顺序分别填写。</w:t>
      </w:r>
    </w:p>
    <w:p w14:paraId="4BDFFE3F">
      <w:pPr>
        <w:widowControl/>
        <w:spacing w:after="150"/>
        <w:jc w:val="left"/>
        <w:rPr>
          <w:rFonts w:ascii="宋体" w:hAnsi="宋体" w:eastAsia="宋体" w:cs="宋体"/>
          <w:kern w:val="0"/>
          <w:sz w:val="24"/>
          <w:szCs w:val="24"/>
        </w:rPr>
      </w:pPr>
      <w:r>
        <w:rPr>
          <w:rFonts w:hint="eastAsia" w:ascii="宋体" w:hAnsi="宋体" w:eastAsia="宋体" w:cs="宋体"/>
          <w:kern w:val="0"/>
          <w:szCs w:val="21"/>
        </w:rPr>
        <w:t>3、具体统计、计算：</w:t>
      </w:r>
    </w:p>
    <w:p w14:paraId="4900FD9F">
      <w:pPr>
        <w:widowControl/>
        <w:spacing w:after="150"/>
        <w:jc w:val="left"/>
        <w:rPr>
          <w:rFonts w:ascii="宋体" w:hAnsi="宋体" w:eastAsia="宋体" w:cs="宋体"/>
          <w:kern w:val="0"/>
          <w:sz w:val="24"/>
          <w:szCs w:val="24"/>
        </w:rPr>
      </w:pPr>
      <w:r>
        <w:rPr>
          <w:rFonts w:hint="eastAsia" w:ascii="宋体" w:hAnsi="宋体" w:eastAsia="宋体" w:cs="宋体"/>
          <w:kern w:val="0"/>
          <w:szCs w:val="21"/>
        </w:rPr>
        <w:t>3.1</w:t>
      </w:r>
      <w:r>
        <w:rPr>
          <w:rFonts w:ascii="Calibri" w:hAnsi="Calibri" w:eastAsia="宋体" w:cs="Calibri"/>
          <w:kern w:val="0"/>
          <w:szCs w:val="21"/>
        </w:rPr>
        <w:t> </w:t>
      </w:r>
      <w:r>
        <w:rPr>
          <w:rFonts w:hint="eastAsia" w:ascii="宋体" w:hAnsi="宋体" w:eastAsia="宋体" w:cs="宋体"/>
          <w:kern w:val="0"/>
          <w:szCs w:val="21"/>
        </w:rPr>
        <w:t>若节能、环境标志产品仅是构成投标产品的部件、组件或零件，则该投标产品不享受鼓励优惠政策。同一品目中各认证证书不重复计算加分。强制类节能产品不享受加分。</w:t>
      </w:r>
    </w:p>
    <w:p w14:paraId="38114728">
      <w:pPr>
        <w:widowControl/>
        <w:spacing w:after="150"/>
        <w:jc w:val="left"/>
        <w:rPr>
          <w:rFonts w:ascii="宋体" w:hAnsi="宋体" w:eastAsia="宋体" w:cs="宋体"/>
          <w:kern w:val="0"/>
          <w:sz w:val="24"/>
          <w:szCs w:val="24"/>
        </w:rPr>
      </w:pPr>
      <w:r>
        <w:rPr>
          <w:rFonts w:hint="eastAsia" w:ascii="宋体" w:hAnsi="宋体" w:eastAsia="宋体" w:cs="宋体"/>
          <w:kern w:val="0"/>
          <w:szCs w:val="21"/>
        </w:rPr>
        <w:t>3.2计算结果若除不尽，可四舍五入保留到小数点后两位。</w:t>
      </w:r>
    </w:p>
    <w:p w14:paraId="1A4012FE">
      <w:pPr>
        <w:widowControl/>
        <w:spacing w:after="150"/>
        <w:jc w:val="left"/>
        <w:rPr>
          <w:rFonts w:ascii="宋体" w:hAnsi="宋体" w:eastAsia="宋体" w:cs="宋体"/>
          <w:kern w:val="0"/>
          <w:sz w:val="24"/>
          <w:szCs w:val="24"/>
        </w:rPr>
      </w:pPr>
      <w:r>
        <w:rPr>
          <w:rFonts w:hint="eastAsia" w:ascii="宋体" w:hAnsi="宋体" w:eastAsia="宋体" w:cs="宋体"/>
          <w:kern w:val="0"/>
          <w:szCs w:val="21"/>
        </w:rPr>
        <w:t>3.3投标人应按照招标文件要求认真统计、计算，否则评标委员会不予认定。</w:t>
      </w:r>
    </w:p>
    <w:p w14:paraId="3853042E">
      <w:pPr>
        <w:widowControl/>
        <w:spacing w:after="150"/>
        <w:jc w:val="left"/>
        <w:rPr>
          <w:rFonts w:ascii="宋体" w:hAnsi="宋体" w:eastAsia="宋体" w:cs="宋体"/>
          <w:kern w:val="0"/>
          <w:sz w:val="24"/>
          <w:szCs w:val="24"/>
        </w:rPr>
      </w:pPr>
      <w:r>
        <w:rPr>
          <w:rFonts w:hint="eastAsia" w:ascii="宋体" w:hAnsi="宋体" w:eastAsia="宋体" w:cs="宋体"/>
          <w:kern w:val="0"/>
          <w:szCs w:val="21"/>
        </w:rPr>
        <w:t>3.4若无节能、环境标志产品，不填写本表，否则，</w:t>
      </w:r>
      <w:r>
        <w:rPr>
          <w:rFonts w:hint="eastAsia" w:ascii="宋体" w:hAnsi="宋体" w:eastAsia="宋体" w:cs="宋体"/>
          <w:b/>
          <w:bCs/>
          <w:kern w:val="0"/>
          <w:szCs w:val="21"/>
        </w:rPr>
        <w:t>视为提供虚假材料</w:t>
      </w:r>
      <w:r>
        <w:rPr>
          <w:rFonts w:hint="eastAsia" w:ascii="宋体" w:hAnsi="宋体" w:eastAsia="宋体" w:cs="宋体"/>
          <w:kern w:val="0"/>
          <w:szCs w:val="21"/>
        </w:rPr>
        <w:t>。</w:t>
      </w:r>
    </w:p>
    <w:p w14:paraId="34A9A2F8">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14:paraId="53D39406">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14:paraId="59EC4526">
      <w:pPr>
        <w:widowControl/>
        <w:spacing w:after="150"/>
        <w:jc w:val="left"/>
        <w:rPr>
          <w:rFonts w:ascii="宋体" w:hAnsi="宋体" w:eastAsia="宋体" w:cs="宋体"/>
          <w:kern w:val="0"/>
          <w:sz w:val="24"/>
          <w:szCs w:val="24"/>
        </w:rPr>
      </w:pPr>
      <w:r>
        <w:rPr>
          <w:rFonts w:hint="eastAsia" w:ascii="宋体" w:hAnsi="宋体" w:eastAsia="宋体" w:cs="宋体"/>
          <w:kern w:val="0"/>
          <w:szCs w:val="21"/>
        </w:rPr>
        <w:t>投标人：</w:t>
      </w:r>
      <w:r>
        <w:rPr>
          <w:rFonts w:hint="eastAsia" w:ascii="宋体" w:hAnsi="宋体" w:eastAsia="宋体" w:cs="宋体"/>
          <w:kern w:val="0"/>
          <w:szCs w:val="21"/>
          <w:u w:val="single"/>
        </w:rPr>
        <w:t>（全称并加盖单位公章）</w:t>
      </w:r>
    </w:p>
    <w:p w14:paraId="130EF4C1">
      <w:pPr>
        <w:widowControl/>
        <w:spacing w:after="150"/>
        <w:jc w:val="left"/>
        <w:rPr>
          <w:rFonts w:ascii="宋体" w:hAnsi="宋体" w:eastAsia="宋体" w:cs="宋体"/>
          <w:kern w:val="0"/>
          <w:sz w:val="24"/>
          <w:szCs w:val="24"/>
        </w:rPr>
      </w:pPr>
      <w:r>
        <w:rPr>
          <w:rFonts w:hint="eastAsia" w:ascii="宋体" w:hAnsi="宋体" w:eastAsia="宋体" w:cs="宋体"/>
          <w:kern w:val="0"/>
          <w:szCs w:val="21"/>
        </w:rPr>
        <w:t>日期：</w:t>
      </w:r>
      <w:r>
        <w:rPr>
          <w:rFonts w:hint="eastAsia" w:ascii="宋体" w:hAnsi="宋体" w:eastAsia="宋体" w:cs="宋体"/>
          <w:kern w:val="0"/>
          <w:szCs w:val="21"/>
          <w:u w:val="single"/>
        </w:rPr>
        <w:t>    </w:t>
      </w:r>
      <w:r>
        <w:rPr>
          <w:rFonts w:hint="eastAsia" w:ascii="宋体" w:hAnsi="宋体" w:eastAsia="宋体" w:cs="宋体"/>
          <w:kern w:val="0"/>
          <w:szCs w:val="21"/>
        </w:rPr>
        <w:t>年</w:t>
      </w:r>
      <w:r>
        <w:rPr>
          <w:rFonts w:hint="eastAsia" w:ascii="宋体" w:hAnsi="宋体" w:eastAsia="宋体" w:cs="宋体"/>
          <w:kern w:val="0"/>
          <w:szCs w:val="21"/>
          <w:u w:val="single"/>
        </w:rPr>
        <w:t>   </w:t>
      </w:r>
      <w:r>
        <w:rPr>
          <w:rFonts w:hint="eastAsia" w:ascii="宋体" w:hAnsi="宋体" w:eastAsia="宋体" w:cs="宋体"/>
          <w:kern w:val="0"/>
          <w:szCs w:val="21"/>
        </w:rPr>
        <w:t>月</w:t>
      </w:r>
      <w:r>
        <w:rPr>
          <w:rFonts w:hint="eastAsia" w:ascii="宋体" w:hAnsi="宋体" w:eastAsia="宋体" w:cs="宋体"/>
          <w:kern w:val="0"/>
          <w:szCs w:val="21"/>
          <w:u w:val="single"/>
        </w:rPr>
        <w:t>   </w:t>
      </w:r>
      <w:r>
        <w:rPr>
          <w:rFonts w:hint="eastAsia" w:ascii="宋体" w:hAnsi="宋体" w:eastAsia="宋体" w:cs="宋体"/>
          <w:kern w:val="0"/>
          <w:szCs w:val="21"/>
        </w:rPr>
        <w:t>日</w:t>
      </w:r>
    </w:p>
    <w:p w14:paraId="706105C3">
      <w:pPr>
        <w:widowControl/>
        <w:spacing w:after="150"/>
        <w:jc w:val="left"/>
        <w:rPr>
          <w:rFonts w:ascii="宋体" w:hAnsi="宋体" w:eastAsia="宋体" w:cs="宋体"/>
          <w:kern w:val="0"/>
          <w:sz w:val="24"/>
          <w:szCs w:val="24"/>
        </w:rPr>
      </w:pPr>
      <w:r>
        <w:rPr>
          <w:rFonts w:hint="eastAsia" w:ascii="宋体" w:hAnsi="宋体" w:eastAsia="宋体" w:cs="宋体"/>
          <w:b/>
          <w:bCs/>
          <w:kern w:val="0"/>
          <w:szCs w:val="21"/>
        </w:rPr>
        <w:t> </w:t>
      </w:r>
    </w:p>
    <w:p w14:paraId="6CDE1C8F">
      <w:pPr>
        <w:widowControl/>
        <w:spacing w:after="150"/>
        <w:jc w:val="left"/>
        <w:rPr>
          <w:rFonts w:ascii="宋体" w:hAnsi="宋体" w:eastAsia="宋体" w:cs="宋体"/>
          <w:kern w:val="0"/>
          <w:sz w:val="24"/>
          <w:szCs w:val="24"/>
        </w:rPr>
      </w:pPr>
      <w:r>
        <w:rPr>
          <w:rFonts w:hint="eastAsia" w:ascii="宋体" w:hAnsi="宋体" w:eastAsia="宋体" w:cs="宋体"/>
          <w:b/>
          <w:bCs/>
          <w:kern w:val="0"/>
          <w:szCs w:val="21"/>
        </w:rPr>
        <w:t> </w:t>
      </w:r>
      <w:r>
        <w:rPr>
          <w:rFonts w:hint="eastAsia" w:ascii="宋体" w:hAnsi="宋体" w:eastAsia="宋体" w:cs="宋体"/>
          <w:b/>
          <w:bCs/>
          <w:kern w:val="0"/>
          <w:szCs w:val="21"/>
        </w:rPr>
        <w:br w:type="textWrapping"/>
      </w:r>
      <w:r>
        <w:rPr>
          <w:rFonts w:hint="eastAsia" w:ascii="宋体" w:hAnsi="宋体" w:eastAsia="宋体" w:cs="宋体"/>
          <w:b/>
          <w:bCs/>
          <w:kern w:val="0"/>
          <w:szCs w:val="21"/>
        </w:rPr>
        <w:br w:type="textWrapping"/>
      </w:r>
      <w:r>
        <w:rPr>
          <w:rFonts w:hint="eastAsia" w:ascii="宋体" w:hAnsi="宋体" w:eastAsia="宋体" w:cs="宋体"/>
          <w:b/>
          <w:bCs/>
          <w:kern w:val="0"/>
          <w:szCs w:val="21"/>
        </w:rPr>
        <w:br w:type="textWrapping"/>
      </w:r>
    </w:p>
    <w:p w14:paraId="43869EF8">
      <w:pPr>
        <w:widowControl/>
        <w:spacing w:after="150"/>
        <w:jc w:val="center"/>
        <w:rPr>
          <w:rFonts w:ascii="宋体" w:hAnsi="宋体" w:eastAsia="宋体" w:cs="宋体"/>
          <w:kern w:val="0"/>
          <w:sz w:val="24"/>
          <w:szCs w:val="24"/>
        </w:rPr>
      </w:pPr>
      <w:r>
        <w:rPr>
          <w:rFonts w:ascii="Calibri" w:hAnsi="Calibri" w:eastAsia="宋体" w:cs="Calibri"/>
          <w:b/>
          <w:bCs/>
          <w:kern w:val="0"/>
          <w:szCs w:val="21"/>
        </w:rPr>
        <w:br w:type="textWrapping"/>
      </w:r>
      <w:r>
        <w:rPr>
          <w:rFonts w:hint="eastAsia" w:ascii="宋体" w:hAnsi="宋体" w:eastAsia="宋体" w:cs="宋体"/>
          <w:b/>
          <w:bCs/>
          <w:kern w:val="0"/>
          <w:szCs w:val="21"/>
        </w:rPr>
        <w:t>四-1-②优先类节能产品、环境标志产品证明材料（加分适用，若有）</w:t>
      </w:r>
    </w:p>
    <w:p w14:paraId="786C2A92">
      <w:pPr>
        <w:widowControl/>
        <w:spacing w:after="150"/>
        <w:jc w:val="left"/>
        <w:rPr>
          <w:rFonts w:ascii="宋体" w:hAnsi="宋体" w:eastAsia="宋体" w:cs="宋体"/>
          <w:kern w:val="0"/>
          <w:sz w:val="24"/>
          <w:szCs w:val="24"/>
        </w:rPr>
      </w:pPr>
      <w:r>
        <w:rPr>
          <w:rFonts w:hint="eastAsia" w:ascii="宋体" w:hAnsi="宋体" w:eastAsia="宋体" w:cs="宋体"/>
          <w:b/>
          <w:bCs/>
          <w:kern w:val="0"/>
          <w:szCs w:val="21"/>
        </w:rPr>
        <w:t> </w:t>
      </w:r>
    </w:p>
    <w:p w14:paraId="5E7AE034">
      <w:pPr>
        <w:widowControl/>
        <w:spacing w:after="150"/>
        <w:jc w:val="left"/>
        <w:rPr>
          <w:rFonts w:ascii="宋体" w:hAnsi="宋体" w:eastAsia="宋体" w:cs="宋体"/>
          <w:kern w:val="0"/>
          <w:sz w:val="24"/>
          <w:szCs w:val="24"/>
        </w:rPr>
      </w:pPr>
      <w:r>
        <w:rPr>
          <w:rFonts w:hint="eastAsia" w:ascii="宋体" w:hAnsi="宋体" w:eastAsia="宋体" w:cs="宋体"/>
          <w:b/>
          <w:bCs/>
          <w:kern w:val="0"/>
          <w:szCs w:val="21"/>
        </w:rPr>
        <w:t> </w:t>
      </w:r>
    </w:p>
    <w:p w14:paraId="6C04E056">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14:paraId="4C5B79B7">
      <w:pPr>
        <w:widowControl/>
        <w:spacing w:after="150"/>
        <w:jc w:val="center"/>
        <w:rPr>
          <w:rFonts w:ascii="宋体" w:hAnsi="宋体" w:eastAsia="宋体" w:cs="宋体"/>
          <w:kern w:val="0"/>
          <w:sz w:val="24"/>
          <w:szCs w:val="24"/>
        </w:rPr>
      </w:pPr>
      <w:r>
        <w:rPr>
          <w:rFonts w:ascii="Calibri" w:hAnsi="Calibri" w:eastAsia="宋体" w:cs="Calibri"/>
          <w:kern w:val="0"/>
          <w:szCs w:val="21"/>
        </w:rPr>
        <w:br w:type="textWrapping"/>
      </w:r>
      <w:r>
        <w:rPr>
          <w:rFonts w:hint="eastAsia" w:ascii="宋体" w:hAnsi="宋体" w:eastAsia="宋体" w:cs="宋体"/>
          <w:kern w:val="0"/>
          <w:szCs w:val="21"/>
        </w:rPr>
        <w:t>四</w:t>
      </w:r>
      <w:r>
        <w:rPr>
          <w:rFonts w:hint="eastAsia" w:ascii="宋体" w:hAnsi="宋体" w:eastAsia="宋体" w:cs="宋体"/>
          <w:b/>
          <w:bCs/>
          <w:kern w:val="0"/>
          <w:szCs w:val="21"/>
        </w:rPr>
        <w:t>-2招标文件规定的其他加分证明材料（若有）</w:t>
      </w:r>
    </w:p>
    <w:p w14:paraId="7A11EC7E">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14:paraId="2C92F741">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14:paraId="536A2E7B">
      <w:pPr>
        <w:widowControl/>
        <w:spacing w:after="150"/>
        <w:jc w:val="center"/>
        <w:rPr>
          <w:rFonts w:ascii="宋体" w:hAnsi="宋体" w:eastAsia="宋体" w:cs="宋体"/>
          <w:kern w:val="0"/>
          <w:sz w:val="24"/>
          <w:szCs w:val="24"/>
        </w:rPr>
      </w:pPr>
      <w:r>
        <w:rPr>
          <w:rFonts w:hint="eastAsia" w:ascii="宋体" w:hAnsi="宋体" w:eastAsia="宋体" w:cs="宋体"/>
          <w:kern w:val="0"/>
          <w:szCs w:val="21"/>
        </w:rPr>
        <w:t>编制说明</w:t>
      </w:r>
    </w:p>
    <w:p w14:paraId="0BCB98E5">
      <w:pPr>
        <w:widowControl/>
        <w:spacing w:after="150"/>
        <w:jc w:val="center"/>
        <w:rPr>
          <w:rFonts w:ascii="宋体" w:hAnsi="宋体" w:eastAsia="宋体" w:cs="宋体"/>
          <w:kern w:val="0"/>
          <w:sz w:val="24"/>
          <w:szCs w:val="24"/>
        </w:rPr>
      </w:pPr>
      <w:r>
        <w:rPr>
          <w:rFonts w:hint="eastAsia" w:ascii="宋体" w:hAnsi="宋体" w:eastAsia="宋体" w:cs="宋体"/>
          <w:kern w:val="0"/>
          <w:szCs w:val="21"/>
        </w:rPr>
        <w:t> </w:t>
      </w:r>
    </w:p>
    <w:p w14:paraId="2E0C9DB2">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若投标人可享受招标文件规定的除</w:t>
      </w:r>
      <w:r>
        <w:rPr>
          <w:rFonts w:hint="eastAsia" w:ascii="宋体" w:hAnsi="宋体" w:eastAsia="宋体" w:cs="宋体"/>
          <w:b/>
          <w:bCs/>
          <w:kern w:val="0"/>
          <w:szCs w:val="21"/>
        </w:rPr>
        <w:t>“优先类节能产品、环境标志产品加分”</w:t>
      </w:r>
      <w:r>
        <w:rPr>
          <w:rFonts w:hint="eastAsia" w:ascii="宋体" w:hAnsi="宋体" w:eastAsia="宋体" w:cs="宋体"/>
          <w:kern w:val="0"/>
          <w:szCs w:val="21"/>
        </w:rPr>
        <w:t>外的其他加分优惠，则投标人应按照招标文件要求提供相应证明材料。</w:t>
      </w:r>
    </w:p>
    <w:p w14:paraId="2B6F2E40">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14:paraId="1CE205FE">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14:paraId="20FF7555">
      <w:pPr>
        <w:widowControl/>
        <w:spacing w:after="150"/>
        <w:jc w:val="left"/>
        <w:rPr>
          <w:rFonts w:ascii="宋体" w:hAnsi="宋体" w:eastAsia="宋体" w:cs="宋体"/>
          <w:kern w:val="0"/>
          <w:sz w:val="24"/>
          <w:szCs w:val="24"/>
        </w:rPr>
      </w:pPr>
      <w:r>
        <w:rPr>
          <w:rFonts w:ascii="Calibri" w:hAnsi="Calibri" w:eastAsia="宋体" w:cs="Calibri"/>
          <w:kern w:val="0"/>
          <w:szCs w:val="21"/>
        </w:rPr>
        <w:br w:type="textWrapping"/>
      </w:r>
    </w:p>
    <w:p w14:paraId="52F6A354">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14:paraId="6077C765">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14:paraId="42E51C20">
      <w:pPr>
        <w:widowControl/>
        <w:spacing w:after="150"/>
        <w:jc w:val="center"/>
        <w:rPr>
          <w:rFonts w:ascii="宋体" w:hAnsi="宋体" w:eastAsia="宋体" w:cs="宋体"/>
          <w:kern w:val="0"/>
          <w:sz w:val="24"/>
          <w:szCs w:val="24"/>
        </w:rPr>
      </w:pPr>
      <w:r>
        <w:rPr>
          <w:rFonts w:hint="eastAsia" w:ascii="宋体" w:hAnsi="宋体" w:eastAsia="宋体" w:cs="宋体"/>
          <w:b/>
          <w:bCs/>
          <w:kern w:val="0"/>
          <w:sz w:val="29"/>
          <w:szCs w:val="29"/>
        </w:rPr>
        <w:t>封面格式</w:t>
      </w:r>
    </w:p>
    <w:p w14:paraId="474BBEEB">
      <w:pPr>
        <w:widowControl/>
        <w:spacing w:after="150"/>
        <w:jc w:val="left"/>
        <w:rPr>
          <w:rFonts w:ascii="宋体" w:hAnsi="宋体" w:eastAsia="宋体" w:cs="宋体"/>
          <w:kern w:val="0"/>
          <w:sz w:val="24"/>
          <w:szCs w:val="24"/>
        </w:rPr>
      </w:pPr>
      <w:r>
        <w:rPr>
          <w:rFonts w:hint="eastAsia" w:ascii="宋体" w:hAnsi="宋体" w:eastAsia="宋体" w:cs="宋体"/>
          <w:kern w:val="0"/>
          <w:sz w:val="36"/>
          <w:szCs w:val="36"/>
        </w:rPr>
        <w:t> </w:t>
      </w:r>
    </w:p>
    <w:p w14:paraId="16D98FF3">
      <w:pPr>
        <w:widowControl/>
        <w:spacing w:after="150"/>
        <w:jc w:val="left"/>
        <w:rPr>
          <w:rFonts w:ascii="宋体" w:hAnsi="宋体" w:eastAsia="宋体" w:cs="宋体"/>
          <w:kern w:val="0"/>
          <w:sz w:val="24"/>
          <w:szCs w:val="24"/>
        </w:rPr>
      </w:pPr>
      <w:r>
        <w:rPr>
          <w:rFonts w:hint="eastAsia" w:ascii="宋体" w:hAnsi="宋体" w:eastAsia="宋体" w:cs="宋体"/>
          <w:kern w:val="0"/>
          <w:sz w:val="36"/>
          <w:szCs w:val="36"/>
        </w:rPr>
        <w:t> </w:t>
      </w:r>
    </w:p>
    <w:p w14:paraId="4ED65487">
      <w:pPr>
        <w:widowControl/>
        <w:spacing w:after="150"/>
        <w:jc w:val="left"/>
        <w:rPr>
          <w:rFonts w:ascii="宋体" w:hAnsi="宋体" w:eastAsia="宋体" w:cs="宋体"/>
          <w:kern w:val="0"/>
          <w:sz w:val="24"/>
          <w:szCs w:val="24"/>
        </w:rPr>
      </w:pPr>
      <w:r>
        <w:rPr>
          <w:rFonts w:hint="eastAsia" w:ascii="宋体" w:hAnsi="宋体" w:eastAsia="宋体" w:cs="宋体"/>
          <w:kern w:val="0"/>
          <w:sz w:val="36"/>
          <w:szCs w:val="36"/>
        </w:rPr>
        <w:t> </w:t>
      </w:r>
    </w:p>
    <w:p w14:paraId="4EC0B75C">
      <w:pPr>
        <w:widowControl/>
        <w:spacing w:after="150"/>
        <w:jc w:val="center"/>
        <w:rPr>
          <w:rFonts w:ascii="宋体" w:hAnsi="宋体" w:eastAsia="宋体" w:cs="宋体"/>
          <w:kern w:val="0"/>
          <w:sz w:val="24"/>
          <w:szCs w:val="24"/>
        </w:rPr>
      </w:pPr>
      <w:r>
        <w:rPr>
          <w:rFonts w:hint="eastAsia" w:ascii="宋体" w:hAnsi="宋体" w:eastAsia="宋体" w:cs="宋体"/>
          <w:b/>
          <w:bCs/>
          <w:kern w:val="0"/>
          <w:sz w:val="48"/>
          <w:szCs w:val="48"/>
        </w:rPr>
        <w:t>福建省政府采购投标文件</w:t>
      </w:r>
    </w:p>
    <w:p w14:paraId="06D90E59">
      <w:pPr>
        <w:widowControl/>
        <w:spacing w:after="150"/>
        <w:jc w:val="center"/>
        <w:rPr>
          <w:rFonts w:ascii="宋体" w:hAnsi="宋体" w:eastAsia="宋体" w:cs="宋体"/>
          <w:kern w:val="0"/>
          <w:sz w:val="24"/>
          <w:szCs w:val="24"/>
        </w:rPr>
      </w:pPr>
      <w:r>
        <w:rPr>
          <w:rFonts w:hint="eastAsia" w:ascii="宋体" w:hAnsi="宋体" w:eastAsia="宋体" w:cs="宋体"/>
          <w:b/>
          <w:bCs/>
          <w:kern w:val="0"/>
          <w:sz w:val="48"/>
          <w:szCs w:val="48"/>
        </w:rPr>
        <w:t>（技术商务部分）</w:t>
      </w:r>
    </w:p>
    <w:p w14:paraId="527A37BB">
      <w:pPr>
        <w:widowControl/>
        <w:spacing w:after="150"/>
        <w:jc w:val="left"/>
        <w:rPr>
          <w:rFonts w:ascii="宋体" w:hAnsi="宋体" w:eastAsia="宋体" w:cs="宋体"/>
          <w:kern w:val="0"/>
          <w:sz w:val="24"/>
          <w:szCs w:val="24"/>
        </w:rPr>
      </w:pPr>
      <w:r>
        <w:rPr>
          <w:rFonts w:hint="eastAsia" w:ascii="宋体" w:hAnsi="宋体" w:eastAsia="宋体" w:cs="宋体"/>
          <w:kern w:val="0"/>
          <w:sz w:val="36"/>
          <w:szCs w:val="36"/>
        </w:rPr>
        <w:t> </w:t>
      </w:r>
    </w:p>
    <w:p w14:paraId="6B17DFB1">
      <w:pPr>
        <w:widowControl/>
        <w:spacing w:after="150"/>
        <w:jc w:val="center"/>
        <w:rPr>
          <w:rFonts w:ascii="宋体" w:hAnsi="宋体" w:eastAsia="宋体" w:cs="宋体"/>
          <w:kern w:val="0"/>
          <w:sz w:val="24"/>
          <w:szCs w:val="24"/>
        </w:rPr>
      </w:pPr>
      <w:r>
        <w:rPr>
          <w:rFonts w:hint="eastAsia" w:ascii="宋体" w:hAnsi="宋体" w:eastAsia="宋体" w:cs="宋体"/>
          <w:b/>
          <w:bCs/>
          <w:kern w:val="0"/>
          <w:sz w:val="36"/>
          <w:szCs w:val="36"/>
          <w:u w:val="single"/>
        </w:rPr>
        <w:t>（填写正本或副本）</w:t>
      </w:r>
    </w:p>
    <w:p w14:paraId="14DB0D90">
      <w:pPr>
        <w:widowControl/>
        <w:spacing w:after="150"/>
        <w:jc w:val="left"/>
        <w:rPr>
          <w:rFonts w:ascii="宋体" w:hAnsi="宋体" w:eastAsia="宋体" w:cs="宋体"/>
          <w:kern w:val="0"/>
          <w:sz w:val="24"/>
          <w:szCs w:val="24"/>
        </w:rPr>
      </w:pPr>
      <w:r>
        <w:rPr>
          <w:rFonts w:hint="eastAsia" w:ascii="宋体" w:hAnsi="宋体" w:eastAsia="宋体" w:cs="宋体"/>
          <w:kern w:val="0"/>
          <w:sz w:val="36"/>
          <w:szCs w:val="36"/>
        </w:rPr>
        <w:t> </w:t>
      </w:r>
    </w:p>
    <w:p w14:paraId="49BBB3F5">
      <w:pPr>
        <w:widowControl/>
        <w:spacing w:after="150"/>
        <w:ind w:firstLine="1920"/>
        <w:jc w:val="left"/>
        <w:rPr>
          <w:rFonts w:ascii="宋体" w:hAnsi="宋体" w:eastAsia="宋体" w:cs="宋体"/>
          <w:kern w:val="0"/>
          <w:sz w:val="24"/>
          <w:szCs w:val="24"/>
        </w:rPr>
      </w:pPr>
      <w:r>
        <w:rPr>
          <w:rFonts w:hint="eastAsia" w:ascii="宋体" w:hAnsi="宋体" w:eastAsia="宋体" w:cs="宋体"/>
          <w:b/>
          <w:bCs/>
          <w:kern w:val="0"/>
          <w:sz w:val="32"/>
          <w:szCs w:val="32"/>
        </w:rPr>
        <w:t>项目名称：</w:t>
      </w:r>
      <w:r>
        <w:rPr>
          <w:rFonts w:hint="eastAsia" w:ascii="宋体" w:hAnsi="宋体" w:eastAsia="宋体" w:cs="宋体"/>
          <w:b/>
          <w:bCs/>
          <w:kern w:val="0"/>
          <w:sz w:val="32"/>
          <w:szCs w:val="32"/>
          <w:u w:val="single"/>
        </w:rPr>
        <w:t>（由投标人填写）</w:t>
      </w:r>
    </w:p>
    <w:p w14:paraId="6D191D37">
      <w:pPr>
        <w:widowControl/>
        <w:spacing w:after="150"/>
        <w:ind w:firstLine="1920"/>
        <w:jc w:val="left"/>
        <w:rPr>
          <w:rFonts w:ascii="宋体" w:hAnsi="宋体" w:eastAsia="宋体" w:cs="宋体"/>
          <w:kern w:val="0"/>
          <w:sz w:val="24"/>
          <w:szCs w:val="24"/>
        </w:rPr>
      </w:pPr>
      <w:r>
        <w:rPr>
          <w:rFonts w:hint="eastAsia" w:ascii="宋体" w:hAnsi="宋体" w:eastAsia="宋体" w:cs="宋体"/>
          <w:b/>
          <w:bCs/>
          <w:kern w:val="0"/>
          <w:sz w:val="32"/>
          <w:szCs w:val="32"/>
        </w:rPr>
        <w:t>备案编号：</w:t>
      </w:r>
      <w:r>
        <w:rPr>
          <w:rFonts w:hint="eastAsia" w:ascii="宋体" w:hAnsi="宋体" w:eastAsia="宋体" w:cs="宋体"/>
          <w:b/>
          <w:bCs/>
          <w:kern w:val="0"/>
          <w:sz w:val="32"/>
          <w:szCs w:val="32"/>
          <w:u w:val="single"/>
        </w:rPr>
        <w:t>（由投标人填写）</w:t>
      </w:r>
    </w:p>
    <w:p w14:paraId="49D8C580">
      <w:pPr>
        <w:widowControl/>
        <w:spacing w:after="150"/>
        <w:ind w:firstLine="1920"/>
        <w:jc w:val="left"/>
        <w:rPr>
          <w:rFonts w:ascii="宋体" w:hAnsi="宋体" w:eastAsia="宋体" w:cs="宋体"/>
          <w:kern w:val="0"/>
          <w:sz w:val="24"/>
          <w:szCs w:val="24"/>
        </w:rPr>
      </w:pPr>
      <w:r>
        <w:rPr>
          <w:rFonts w:hint="eastAsia" w:ascii="宋体" w:hAnsi="宋体" w:eastAsia="宋体" w:cs="宋体"/>
          <w:b/>
          <w:bCs/>
          <w:kern w:val="0"/>
          <w:sz w:val="32"/>
          <w:szCs w:val="32"/>
        </w:rPr>
        <w:t>项目编号：</w:t>
      </w:r>
      <w:r>
        <w:rPr>
          <w:rFonts w:hint="eastAsia" w:ascii="宋体" w:hAnsi="宋体" w:eastAsia="宋体" w:cs="宋体"/>
          <w:b/>
          <w:bCs/>
          <w:kern w:val="0"/>
          <w:sz w:val="32"/>
          <w:szCs w:val="32"/>
          <w:u w:val="single"/>
        </w:rPr>
        <w:t>（由投标人填写）</w:t>
      </w:r>
    </w:p>
    <w:p w14:paraId="5E1D7BDD">
      <w:pPr>
        <w:widowControl/>
        <w:spacing w:after="150"/>
        <w:ind w:firstLine="1920"/>
        <w:jc w:val="left"/>
        <w:rPr>
          <w:rFonts w:ascii="宋体" w:hAnsi="宋体" w:eastAsia="宋体" w:cs="宋体"/>
          <w:kern w:val="0"/>
          <w:sz w:val="24"/>
          <w:szCs w:val="24"/>
        </w:rPr>
      </w:pPr>
      <w:r>
        <w:rPr>
          <w:rFonts w:hint="eastAsia" w:ascii="宋体" w:hAnsi="宋体" w:eastAsia="宋体" w:cs="宋体"/>
          <w:b/>
          <w:bCs/>
          <w:kern w:val="0"/>
          <w:sz w:val="32"/>
          <w:szCs w:val="32"/>
        </w:rPr>
        <w:t>所投采购包：</w:t>
      </w:r>
      <w:r>
        <w:rPr>
          <w:rFonts w:hint="eastAsia" w:ascii="宋体" w:hAnsi="宋体" w:eastAsia="宋体" w:cs="宋体"/>
          <w:b/>
          <w:bCs/>
          <w:kern w:val="0"/>
          <w:sz w:val="32"/>
          <w:szCs w:val="32"/>
          <w:u w:val="single"/>
        </w:rPr>
        <w:t>（由投标人填写）</w:t>
      </w:r>
    </w:p>
    <w:p w14:paraId="06B12A74">
      <w:pPr>
        <w:widowControl/>
        <w:spacing w:after="150"/>
        <w:jc w:val="left"/>
        <w:rPr>
          <w:rFonts w:ascii="宋体" w:hAnsi="宋体" w:eastAsia="宋体" w:cs="宋体"/>
          <w:kern w:val="0"/>
          <w:sz w:val="24"/>
          <w:szCs w:val="24"/>
        </w:rPr>
      </w:pPr>
      <w:r>
        <w:rPr>
          <w:rFonts w:hint="eastAsia" w:ascii="宋体" w:hAnsi="宋体" w:eastAsia="宋体" w:cs="宋体"/>
          <w:kern w:val="0"/>
          <w:sz w:val="36"/>
          <w:szCs w:val="36"/>
        </w:rPr>
        <w:t> </w:t>
      </w:r>
    </w:p>
    <w:p w14:paraId="0A63790E">
      <w:pPr>
        <w:widowControl/>
        <w:spacing w:after="150"/>
        <w:jc w:val="left"/>
        <w:rPr>
          <w:rFonts w:ascii="宋体" w:hAnsi="宋体" w:eastAsia="宋体" w:cs="宋体"/>
          <w:kern w:val="0"/>
          <w:sz w:val="24"/>
          <w:szCs w:val="24"/>
        </w:rPr>
      </w:pPr>
      <w:r>
        <w:rPr>
          <w:rFonts w:hint="eastAsia" w:ascii="宋体" w:hAnsi="宋体" w:eastAsia="宋体" w:cs="宋体"/>
          <w:kern w:val="0"/>
          <w:sz w:val="36"/>
          <w:szCs w:val="36"/>
        </w:rPr>
        <w:t> </w:t>
      </w:r>
    </w:p>
    <w:p w14:paraId="766FD353">
      <w:pPr>
        <w:widowControl/>
        <w:spacing w:after="150"/>
        <w:jc w:val="left"/>
        <w:rPr>
          <w:rFonts w:ascii="宋体" w:hAnsi="宋体" w:eastAsia="宋体" w:cs="宋体"/>
          <w:kern w:val="0"/>
          <w:sz w:val="24"/>
          <w:szCs w:val="24"/>
        </w:rPr>
      </w:pPr>
      <w:r>
        <w:rPr>
          <w:rFonts w:hint="eastAsia" w:ascii="宋体" w:hAnsi="宋体" w:eastAsia="宋体" w:cs="宋体"/>
          <w:kern w:val="0"/>
          <w:sz w:val="36"/>
          <w:szCs w:val="36"/>
        </w:rPr>
        <w:t> </w:t>
      </w:r>
    </w:p>
    <w:p w14:paraId="72EE9C24">
      <w:pPr>
        <w:widowControl/>
        <w:spacing w:after="150"/>
        <w:jc w:val="left"/>
        <w:rPr>
          <w:rFonts w:ascii="宋体" w:hAnsi="宋体" w:eastAsia="宋体" w:cs="宋体"/>
          <w:kern w:val="0"/>
          <w:sz w:val="24"/>
          <w:szCs w:val="24"/>
        </w:rPr>
      </w:pPr>
      <w:r>
        <w:rPr>
          <w:rFonts w:hint="eastAsia" w:ascii="宋体" w:hAnsi="宋体" w:eastAsia="宋体" w:cs="宋体"/>
          <w:kern w:val="0"/>
          <w:sz w:val="36"/>
          <w:szCs w:val="36"/>
        </w:rPr>
        <w:t> </w:t>
      </w:r>
    </w:p>
    <w:p w14:paraId="017F8268">
      <w:pPr>
        <w:widowControl/>
        <w:spacing w:after="150"/>
        <w:jc w:val="center"/>
        <w:rPr>
          <w:rFonts w:ascii="宋体" w:hAnsi="宋体" w:eastAsia="宋体" w:cs="宋体"/>
          <w:kern w:val="0"/>
          <w:sz w:val="24"/>
          <w:szCs w:val="24"/>
        </w:rPr>
      </w:pPr>
      <w:r>
        <w:rPr>
          <w:rFonts w:hint="eastAsia" w:ascii="宋体" w:hAnsi="宋体" w:eastAsia="宋体" w:cs="宋体"/>
          <w:b/>
          <w:bCs/>
          <w:kern w:val="0"/>
          <w:sz w:val="32"/>
          <w:szCs w:val="32"/>
        </w:rPr>
        <w:t>投标人：</w:t>
      </w:r>
      <w:r>
        <w:rPr>
          <w:rFonts w:hint="eastAsia" w:ascii="宋体" w:hAnsi="宋体" w:eastAsia="宋体" w:cs="宋体"/>
          <w:b/>
          <w:bCs/>
          <w:kern w:val="0"/>
          <w:sz w:val="32"/>
          <w:szCs w:val="32"/>
          <w:u w:val="single"/>
        </w:rPr>
        <w:t>（填写“全称”）</w:t>
      </w:r>
    </w:p>
    <w:p w14:paraId="087C802A">
      <w:pPr>
        <w:widowControl/>
        <w:spacing w:after="150"/>
        <w:jc w:val="center"/>
        <w:rPr>
          <w:rFonts w:ascii="宋体" w:hAnsi="宋体" w:eastAsia="宋体" w:cs="宋体"/>
          <w:kern w:val="0"/>
          <w:sz w:val="24"/>
          <w:szCs w:val="24"/>
        </w:rPr>
      </w:pPr>
      <w:r>
        <w:rPr>
          <w:rFonts w:hint="eastAsia" w:ascii="宋体" w:hAnsi="宋体" w:eastAsia="宋体" w:cs="宋体"/>
          <w:b/>
          <w:bCs/>
          <w:kern w:val="0"/>
          <w:sz w:val="32"/>
          <w:szCs w:val="32"/>
          <w:u w:val="single"/>
        </w:rPr>
        <w:t>（由投标人填写）</w:t>
      </w:r>
      <w:r>
        <w:rPr>
          <w:rFonts w:hint="eastAsia" w:ascii="宋体" w:hAnsi="宋体" w:eastAsia="宋体" w:cs="宋体"/>
          <w:b/>
          <w:bCs/>
          <w:kern w:val="0"/>
          <w:sz w:val="32"/>
          <w:szCs w:val="32"/>
        </w:rPr>
        <w:t>年</w:t>
      </w:r>
      <w:r>
        <w:rPr>
          <w:rFonts w:hint="eastAsia" w:ascii="宋体" w:hAnsi="宋体" w:eastAsia="宋体" w:cs="宋体"/>
          <w:b/>
          <w:bCs/>
          <w:kern w:val="0"/>
          <w:sz w:val="32"/>
          <w:szCs w:val="32"/>
          <w:u w:val="single"/>
        </w:rPr>
        <w:t>（由投标人填写）</w:t>
      </w:r>
      <w:r>
        <w:rPr>
          <w:rFonts w:hint="eastAsia" w:ascii="宋体" w:hAnsi="宋体" w:eastAsia="宋体" w:cs="宋体"/>
          <w:b/>
          <w:bCs/>
          <w:kern w:val="0"/>
          <w:sz w:val="32"/>
          <w:szCs w:val="32"/>
        </w:rPr>
        <w:t>月</w:t>
      </w:r>
    </w:p>
    <w:p w14:paraId="02E749A3">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14:paraId="145E3961">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14:paraId="415F8E28">
      <w:pPr>
        <w:widowControl/>
        <w:spacing w:after="150"/>
        <w:jc w:val="center"/>
        <w:rPr>
          <w:rFonts w:ascii="宋体" w:hAnsi="宋体" w:eastAsia="宋体" w:cs="宋体"/>
          <w:kern w:val="0"/>
          <w:sz w:val="24"/>
          <w:szCs w:val="24"/>
        </w:rPr>
      </w:pPr>
      <w:r>
        <w:rPr>
          <w:rFonts w:ascii="Calibri" w:hAnsi="Calibri" w:eastAsia="宋体" w:cs="Calibri"/>
          <w:kern w:val="0"/>
          <w:szCs w:val="21"/>
        </w:rPr>
        <w:br w:type="textWrapping"/>
      </w:r>
      <w:r>
        <w:rPr>
          <w:rFonts w:hint="eastAsia" w:ascii="宋体" w:hAnsi="宋体" w:eastAsia="宋体" w:cs="宋体"/>
          <w:b/>
          <w:bCs/>
          <w:kern w:val="0"/>
          <w:sz w:val="29"/>
          <w:szCs w:val="29"/>
        </w:rPr>
        <w:t>索引</w:t>
      </w:r>
    </w:p>
    <w:p w14:paraId="40BFE794">
      <w:pPr>
        <w:widowControl/>
        <w:spacing w:after="150"/>
        <w:jc w:val="left"/>
        <w:rPr>
          <w:rFonts w:ascii="宋体" w:hAnsi="宋体" w:eastAsia="宋体" w:cs="宋体"/>
          <w:kern w:val="0"/>
          <w:sz w:val="24"/>
          <w:szCs w:val="24"/>
        </w:rPr>
      </w:pPr>
      <w:r>
        <w:rPr>
          <w:rFonts w:hint="eastAsia" w:ascii="宋体" w:hAnsi="宋体" w:eastAsia="宋体" w:cs="宋体"/>
          <w:kern w:val="0"/>
          <w:sz w:val="29"/>
          <w:szCs w:val="29"/>
        </w:rPr>
        <w:t>一、标的说明一览表</w:t>
      </w:r>
    </w:p>
    <w:p w14:paraId="7A35F9AE">
      <w:pPr>
        <w:widowControl/>
        <w:spacing w:after="150"/>
        <w:jc w:val="left"/>
        <w:rPr>
          <w:rFonts w:ascii="宋体" w:hAnsi="宋体" w:eastAsia="宋体" w:cs="宋体"/>
          <w:kern w:val="0"/>
          <w:sz w:val="24"/>
          <w:szCs w:val="24"/>
        </w:rPr>
      </w:pPr>
      <w:r>
        <w:rPr>
          <w:rFonts w:hint="eastAsia" w:ascii="宋体" w:hAnsi="宋体" w:eastAsia="宋体" w:cs="宋体"/>
          <w:kern w:val="0"/>
          <w:sz w:val="29"/>
          <w:szCs w:val="29"/>
        </w:rPr>
        <w:t>二、技术和服务要求响应表</w:t>
      </w:r>
    </w:p>
    <w:p w14:paraId="487F4CB3">
      <w:pPr>
        <w:widowControl/>
        <w:spacing w:after="150"/>
        <w:jc w:val="left"/>
        <w:rPr>
          <w:rFonts w:ascii="宋体" w:hAnsi="宋体" w:eastAsia="宋体" w:cs="宋体"/>
          <w:kern w:val="0"/>
          <w:sz w:val="24"/>
          <w:szCs w:val="24"/>
        </w:rPr>
      </w:pPr>
      <w:r>
        <w:rPr>
          <w:rFonts w:hint="eastAsia" w:ascii="宋体" w:hAnsi="宋体" w:eastAsia="宋体" w:cs="宋体"/>
          <w:kern w:val="0"/>
          <w:sz w:val="29"/>
          <w:szCs w:val="29"/>
        </w:rPr>
        <w:t>三、商务条件响应表</w:t>
      </w:r>
    </w:p>
    <w:p w14:paraId="4620A1E7">
      <w:pPr>
        <w:widowControl/>
        <w:spacing w:after="150"/>
        <w:jc w:val="left"/>
        <w:rPr>
          <w:rFonts w:ascii="宋体" w:hAnsi="宋体" w:eastAsia="宋体" w:cs="宋体"/>
          <w:kern w:val="0"/>
          <w:sz w:val="24"/>
          <w:szCs w:val="24"/>
        </w:rPr>
      </w:pPr>
      <w:r>
        <w:rPr>
          <w:rFonts w:hint="eastAsia" w:ascii="宋体" w:hAnsi="宋体" w:eastAsia="宋体" w:cs="宋体"/>
          <w:kern w:val="0"/>
          <w:sz w:val="29"/>
          <w:szCs w:val="29"/>
        </w:rPr>
        <w:t>四、投标人提交的其他资料（若有）</w:t>
      </w:r>
    </w:p>
    <w:p w14:paraId="01FB1229">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14:paraId="2CB291C9">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14:paraId="3866DCB7">
      <w:pPr>
        <w:widowControl/>
        <w:spacing w:after="150"/>
        <w:jc w:val="center"/>
        <w:rPr>
          <w:rFonts w:ascii="宋体" w:hAnsi="宋体" w:eastAsia="宋体" w:cs="宋体"/>
          <w:kern w:val="0"/>
          <w:sz w:val="24"/>
          <w:szCs w:val="24"/>
        </w:rPr>
      </w:pPr>
      <w:r>
        <w:rPr>
          <w:rFonts w:hint="eastAsia" w:ascii="宋体" w:hAnsi="宋体" w:eastAsia="宋体" w:cs="宋体"/>
          <w:kern w:val="0"/>
          <w:szCs w:val="21"/>
        </w:rPr>
        <w:t>※注意</w:t>
      </w:r>
    </w:p>
    <w:p w14:paraId="6768156B">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技术商务部分中不得出现报价部分的全部或部分的投标报价信息（或组成资料），否则</w:t>
      </w:r>
      <w:r>
        <w:rPr>
          <w:rFonts w:hint="eastAsia" w:ascii="宋体" w:hAnsi="宋体" w:eastAsia="宋体" w:cs="宋体"/>
          <w:b/>
          <w:bCs/>
          <w:kern w:val="0"/>
          <w:szCs w:val="21"/>
        </w:rPr>
        <w:t>符合性审查不合格</w:t>
      </w:r>
      <w:r>
        <w:rPr>
          <w:rFonts w:hint="eastAsia" w:ascii="宋体" w:hAnsi="宋体" w:eastAsia="宋体" w:cs="宋体"/>
          <w:kern w:val="0"/>
          <w:szCs w:val="21"/>
        </w:rPr>
        <w:t>。</w:t>
      </w:r>
    </w:p>
    <w:p w14:paraId="68ACE90E">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 </w:t>
      </w:r>
    </w:p>
    <w:p w14:paraId="6B8C39A5">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 </w:t>
      </w:r>
    </w:p>
    <w:p w14:paraId="539475E7">
      <w:pPr>
        <w:widowControl/>
        <w:spacing w:after="150"/>
        <w:jc w:val="center"/>
        <w:rPr>
          <w:rFonts w:ascii="宋体" w:hAnsi="宋体" w:eastAsia="宋体" w:cs="宋体"/>
          <w:kern w:val="0"/>
          <w:sz w:val="24"/>
          <w:szCs w:val="24"/>
        </w:rPr>
      </w:pPr>
      <w:r>
        <w:rPr>
          <w:rFonts w:ascii="Calibri" w:hAnsi="Calibri" w:eastAsia="宋体" w:cs="Calibri"/>
          <w:kern w:val="0"/>
          <w:szCs w:val="21"/>
        </w:rPr>
        <w:br w:type="textWrapping"/>
      </w:r>
      <w:r>
        <w:rPr>
          <w:rFonts w:hint="eastAsia" w:ascii="宋体" w:hAnsi="宋体" w:eastAsia="宋体" w:cs="宋体"/>
          <w:b/>
          <w:bCs/>
          <w:kern w:val="0"/>
          <w:szCs w:val="21"/>
        </w:rPr>
        <w:t>一、标的说明一览表</w:t>
      </w:r>
    </w:p>
    <w:p w14:paraId="32FA87EE">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14:paraId="5CB8BADB">
      <w:pPr>
        <w:widowControl/>
        <w:spacing w:after="150"/>
        <w:jc w:val="left"/>
        <w:rPr>
          <w:rFonts w:ascii="宋体" w:hAnsi="宋体" w:eastAsia="宋体" w:cs="宋体"/>
          <w:kern w:val="0"/>
          <w:sz w:val="24"/>
          <w:szCs w:val="24"/>
        </w:rPr>
      </w:pPr>
      <w:r>
        <w:rPr>
          <w:rFonts w:hint="eastAsia" w:ascii="宋体" w:hAnsi="宋体" w:eastAsia="宋体" w:cs="宋体"/>
          <w:kern w:val="0"/>
          <w:szCs w:val="21"/>
        </w:rPr>
        <w:t>项目编号：</w:t>
      </w:r>
      <w:r>
        <w:rPr>
          <w:rFonts w:hint="eastAsia" w:ascii="宋体" w:hAnsi="宋体" w:eastAsia="宋体" w:cs="宋体"/>
          <w:kern w:val="0"/>
          <w:szCs w:val="21"/>
          <w:u w:val="single"/>
        </w:rPr>
        <w:t>                   </w:t>
      </w:r>
    </w:p>
    <w:tbl>
      <w:tblPr>
        <w:tblStyle w:val="9"/>
        <w:tblW w:w="8520" w:type="dxa"/>
        <w:tblInd w:w="0" w:type="dxa"/>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854"/>
        <w:gridCol w:w="1691"/>
        <w:gridCol w:w="854"/>
        <w:gridCol w:w="1139"/>
        <w:gridCol w:w="1138"/>
        <w:gridCol w:w="1886"/>
      </w:tblGrid>
      <w:tr w14:paraId="7D1F2110">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96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25063C9">
            <w:pPr>
              <w:widowControl/>
              <w:spacing w:after="150"/>
              <w:jc w:val="center"/>
              <w:rPr>
                <w:rFonts w:ascii="宋体" w:hAnsi="宋体" w:eastAsia="宋体" w:cs="宋体"/>
                <w:kern w:val="0"/>
                <w:sz w:val="24"/>
                <w:szCs w:val="24"/>
              </w:rPr>
            </w:pPr>
            <w:r>
              <w:rPr>
                <w:rFonts w:hint="eastAsia" w:ascii="宋体" w:hAnsi="宋体" w:eastAsia="宋体" w:cs="宋体"/>
                <w:kern w:val="0"/>
                <w:szCs w:val="21"/>
              </w:rPr>
              <w:t>采购包</w:t>
            </w:r>
          </w:p>
        </w:tc>
        <w:tc>
          <w:tcPr>
            <w:tcW w:w="85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A2D4A93">
            <w:pPr>
              <w:widowControl/>
              <w:spacing w:after="150"/>
              <w:jc w:val="center"/>
              <w:rPr>
                <w:rFonts w:ascii="宋体" w:hAnsi="宋体" w:eastAsia="宋体" w:cs="宋体"/>
                <w:kern w:val="0"/>
                <w:sz w:val="24"/>
                <w:szCs w:val="24"/>
              </w:rPr>
            </w:pPr>
            <w:r>
              <w:rPr>
                <w:rFonts w:hint="eastAsia" w:ascii="宋体" w:hAnsi="宋体" w:eastAsia="宋体" w:cs="宋体"/>
                <w:kern w:val="0"/>
                <w:szCs w:val="21"/>
              </w:rPr>
              <w:t>品目号</w:t>
            </w:r>
          </w:p>
        </w:tc>
        <w:tc>
          <w:tcPr>
            <w:tcW w:w="169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80BA6F8">
            <w:pPr>
              <w:widowControl/>
              <w:spacing w:after="150"/>
              <w:jc w:val="center"/>
              <w:rPr>
                <w:rFonts w:ascii="宋体" w:hAnsi="宋体" w:eastAsia="宋体" w:cs="宋体"/>
                <w:kern w:val="0"/>
                <w:sz w:val="24"/>
                <w:szCs w:val="24"/>
              </w:rPr>
            </w:pPr>
            <w:r>
              <w:rPr>
                <w:rFonts w:hint="eastAsia" w:ascii="宋体" w:hAnsi="宋体" w:eastAsia="宋体" w:cs="宋体"/>
                <w:kern w:val="0"/>
                <w:szCs w:val="21"/>
              </w:rPr>
              <w:t>投标标的</w:t>
            </w:r>
          </w:p>
        </w:tc>
        <w:tc>
          <w:tcPr>
            <w:tcW w:w="85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EAD9C2E">
            <w:pPr>
              <w:widowControl/>
              <w:spacing w:after="150"/>
              <w:jc w:val="center"/>
              <w:rPr>
                <w:rFonts w:ascii="宋体" w:hAnsi="宋体" w:eastAsia="宋体" w:cs="宋体"/>
                <w:kern w:val="0"/>
                <w:sz w:val="24"/>
                <w:szCs w:val="24"/>
              </w:rPr>
            </w:pPr>
            <w:r>
              <w:rPr>
                <w:rFonts w:hint="eastAsia" w:ascii="宋体" w:hAnsi="宋体" w:eastAsia="宋体" w:cs="宋体"/>
                <w:kern w:val="0"/>
                <w:szCs w:val="21"/>
              </w:rPr>
              <w:t>数量</w:t>
            </w:r>
          </w:p>
        </w:tc>
        <w:tc>
          <w:tcPr>
            <w:tcW w:w="114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120B872">
            <w:pPr>
              <w:widowControl/>
              <w:spacing w:after="150"/>
              <w:jc w:val="center"/>
              <w:rPr>
                <w:rFonts w:ascii="宋体" w:hAnsi="宋体" w:eastAsia="宋体" w:cs="宋体"/>
                <w:kern w:val="0"/>
                <w:sz w:val="24"/>
                <w:szCs w:val="24"/>
              </w:rPr>
            </w:pPr>
            <w:r>
              <w:rPr>
                <w:rFonts w:hint="eastAsia" w:ascii="宋体" w:hAnsi="宋体" w:eastAsia="宋体" w:cs="宋体"/>
                <w:kern w:val="0"/>
                <w:szCs w:val="21"/>
              </w:rPr>
              <w:t>规格（品牌/型号）</w:t>
            </w:r>
          </w:p>
        </w:tc>
        <w:tc>
          <w:tcPr>
            <w:tcW w:w="114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5CC657E">
            <w:pPr>
              <w:widowControl/>
              <w:spacing w:after="150"/>
              <w:jc w:val="center"/>
              <w:rPr>
                <w:rFonts w:ascii="宋体" w:hAnsi="宋体" w:eastAsia="宋体" w:cs="宋体"/>
                <w:kern w:val="0"/>
                <w:sz w:val="24"/>
                <w:szCs w:val="24"/>
              </w:rPr>
            </w:pPr>
            <w:r>
              <w:rPr>
                <w:rFonts w:hint="eastAsia" w:ascii="宋体" w:hAnsi="宋体" w:eastAsia="宋体" w:cs="宋体"/>
                <w:kern w:val="0"/>
                <w:szCs w:val="21"/>
              </w:rPr>
              <w:t>来源地</w:t>
            </w:r>
          </w:p>
        </w:tc>
        <w:tc>
          <w:tcPr>
            <w:tcW w:w="189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E4F7AF4">
            <w:pPr>
              <w:widowControl/>
              <w:spacing w:after="150"/>
              <w:jc w:val="center"/>
              <w:rPr>
                <w:rFonts w:ascii="宋体" w:hAnsi="宋体" w:eastAsia="宋体" w:cs="宋体"/>
                <w:kern w:val="0"/>
                <w:sz w:val="24"/>
                <w:szCs w:val="24"/>
              </w:rPr>
            </w:pPr>
            <w:r>
              <w:rPr>
                <w:rFonts w:hint="eastAsia" w:ascii="宋体" w:hAnsi="宋体" w:eastAsia="宋体" w:cs="宋体"/>
                <w:kern w:val="0"/>
                <w:szCs w:val="21"/>
              </w:rPr>
              <w:t>备注</w:t>
            </w:r>
          </w:p>
        </w:tc>
      </w:tr>
      <w:tr w14:paraId="724EDA89">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960"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4E96174">
            <w:pPr>
              <w:widowControl/>
              <w:spacing w:after="150"/>
              <w:jc w:val="center"/>
              <w:rPr>
                <w:rFonts w:ascii="宋体" w:hAnsi="宋体" w:eastAsia="宋体" w:cs="宋体"/>
                <w:kern w:val="0"/>
                <w:sz w:val="24"/>
                <w:szCs w:val="24"/>
              </w:rPr>
            </w:pPr>
            <w:r>
              <w:rPr>
                <w:rFonts w:hint="eastAsia" w:ascii="宋体" w:hAnsi="宋体" w:eastAsia="宋体" w:cs="宋体"/>
                <w:kern w:val="0"/>
                <w:szCs w:val="21"/>
              </w:rPr>
              <w:t>*</w:t>
            </w: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218724B">
            <w:pPr>
              <w:widowControl/>
              <w:spacing w:after="150"/>
              <w:jc w:val="center"/>
              <w:rPr>
                <w:rFonts w:ascii="宋体" w:hAnsi="宋体" w:eastAsia="宋体" w:cs="宋体"/>
                <w:kern w:val="0"/>
                <w:sz w:val="24"/>
                <w:szCs w:val="24"/>
              </w:rPr>
            </w:pPr>
            <w:r>
              <w:rPr>
                <w:rFonts w:hint="eastAsia" w:ascii="宋体" w:hAnsi="宋体" w:eastAsia="宋体" w:cs="宋体"/>
                <w:kern w:val="0"/>
                <w:szCs w:val="21"/>
              </w:rPr>
              <w:t>*-1</w:t>
            </w:r>
          </w:p>
        </w:tc>
        <w:tc>
          <w:tcPr>
            <w:tcW w:w="169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6F7E2F31">
            <w:pPr>
              <w:widowControl/>
              <w:jc w:val="left"/>
              <w:rPr>
                <w:rFonts w:ascii="宋体" w:hAnsi="宋体" w:eastAsia="宋体" w:cs="宋体"/>
                <w:kern w:val="0"/>
                <w:sz w:val="24"/>
                <w:szCs w:val="24"/>
              </w:rPr>
            </w:pP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054CB434">
            <w:pPr>
              <w:widowControl/>
              <w:jc w:val="left"/>
              <w:rPr>
                <w:rFonts w:ascii="宋体" w:hAnsi="宋体" w:eastAsia="宋体" w:cs="宋体"/>
                <w:kern w:val="0"/>
                <w:sz w:val="24"/>
                <w:szCs w:val="24"/>
              </w:rPr>
            </w:pPr>
          </w:p>
        </w:tc>
        <w:tc>
          <w:tcPr>
            <w:tcW w:w="114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5821C480">
            <w:pPr>
              <w:widowControl/>
              <w:jc w:val="left"/>
              <w:rPr>
                <w:rFonts w:ascii="宋体" w:hAnsi="宋体" w:eastAsia="宋体" w:cs="宋体"/>
                <w:kern w:val="0"/>
                <w:sz w:val="24"/>
                <w:szCs w:val="24"/>
              </w:rPr>
            </w:pPr>
          </w:p>
        </w:tc>
        <w:tc>
          <w:tcPr>
            <w:tcW w:w="114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09E19210">
            <w:pPr>
              <w:widowControl/>
              <w:jc w:val="left"/>
              <w:rPr>
                <w:rFonts w:ascii="宋体" w:hAnsi="宋体" w:eastAsia="宋体" w:cs="宋体"/>
                <w:kern w:val="0"/>
                <w:sz w:val="24"/>
                <w:szCs w:val="24"/>
              </w:rPr>
            </w:pPr>
          </w:p>
        </w:tc>
        <w:tc>
          <w:tcPr>
            <w:tcW w:w="18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38D48B41">
            <w:pPr>
              <w:widowControl/>
              <w:jc w:val="left"/>
              <w:rPr>
                <w:rFonts w:ascii="宋体" w:hAnsi="宋体" w:eastAsia="宋体" w:cs="宋体"/>
                <w:kern w:val="0"/>
                <w:sz w:val="24"/>
                <w:szCs w:val="24"/>
              </w:rPr>
            </w:pPr>
          </w:p>
        </w:tc>
      </w:tr>
      <w:tr w14:paraId="009D6436">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0" w:type="auto"/>
            <w:vMerge w:val="continue"/>
            <w:tcBorders>
              <w:top w:val="nil"/>
              <w:left w:val="single" w:color="auto" w:sz="6" w:space="0"/>
              <w:bottom w:val="single" w:color="auto" w:sz="6" w:space="0"/>
              <w:right w:val="single" w:color="auto" w:sz="6" w:space="0"/>
            </w:tcBorders>
            <w:shd w:val="clear" w:color="auto" w:fill="auto"/>
            <w:vAlign w:val="center"/>
          </w:tcPr>
          <w:p w14:paraId="03A0FC46">
            <w:pPr>
              <w:widowControl/>
              <w:jc w:val="left"/>
              <w:rPr>
                <w:rFonts w:ascii="宋体" w:hAnsi="宋体" w:eastAsia="宋体" w:cs="宋体"/>
                <w:kern w:val="0"/>
                <w:sz w:val="24"/>
                <w:szCs w:val="24"/>
              </w:rPr>
            </w:pP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2F0ECFA">
            <w:pPr>
              <w:widowControl/>
              <w:spacing w:after="150"/>
              <w:jc w:val="center"/>
              <w:rPr>
                <w:rFonts w:ascii="宋体" w:hAnsi="宋体" w:eastAsia="宋体" w:cs="宋体"/>
                <w:kern w:val="0"/>
                <w:sz w:val="24"/>
                <w:szCs w:val="24"/>
              </w:rPr>
            </w:pPr>
            <w:r>
              <w:rPr>
                <w:rFonts w:ascii="Calibri" w:hAnsi="Calibri" w:eastAsia="宋体" w:cs="Calibri"/>
                <w:kern w:val="0"/>
                <w:szCs w:val="21"/>
              </w:rPr>
              <w:t>…</w:t>
            </w:r>
          </w:p>
        </w:tc>
        <w:tc>
          <w:tcPr>
            <w:tcW w:w="169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0147E1D6">
            <w:pPr>
              <w:widowControl/>
              <w:jc w:val="left"/>
              <w:rPr>
                <w:rFonts w:ascii="宋体" w:hAnsi="宋体" w:eastAsia="宋体" w:cs="宋体"/>
                <w:kern w:val="0"/>
                <w:sz w:val="24"/>
                <w:szCs w:val="24"/>
              </w:rPr>
            </w:pP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10AE6868">
            <w:pPr>
              <w:widowControl/>
              <w:jc w:val="left"/>
              <w:rPr>
                <w:rFonts w:ascii="宋体" w:hAnsi="宋体" w:eastAsia="宋体" w:cs="宋体"/>
                <w:kern w:val="0"/>
                <w:sz w:val="24"/>
                <w:szCs w:val="24"/>
              </w:rPr>
            </w:pPr>
          </w:p>
        </w:tc>
        <w:tc>
          <w:tcPr>
            <w:tcW w:w="114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6B9FF58E">
            <w:pPr>
              <w:widowControl/>
              <w:jc w:val="left"/>
              <w:rPr>
                <w:rFonts w:ascii="宋体" w:hAnsi="宋体" w:eastAsia="宋体" w:cs="宋体"/>
                <w:kern w:val="0"/>
                <w:sz w:val="24"/>
                <w:szCs w:val="24"/>
              </w:rPr>
            </w:pPr>
          </w:p>
        </w:tc>
        <w:tc>
          <w:tcPr>
            <w:tcW w:w="114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57D1D8B8">
            <w:pPr>
              <w:widowControl/>
              <w:jc w:val="left"/>
              <w:rPr>
                <w:rFonts w:ascii="宋体" w:hAnsi="宋体" w:eastAsia="宋体" w:cs="宋体"/>
                <w:kern w:val="0"/>
                <w:sz w:val="24"/>
                <w:szCs w:val="24"/>
              </w:rPr>
            </w:pPr>
          </w:p>
        </w:tc>
        <w:tc>
          <w:tcPr>
            <w:tcW w:w="18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56D1FD7E">
            <w:pPr>
              <w:widowControl/>
              <w:jc w:val="left"/>
              <w:rPr>
                <w:rFonts w:ascii="宋体" w:hAnsi="宋体" w:eastAsia="宋体" w:cs="宋体"/>
                <w:kern w:val="0"/>
                <w:sz w:val="24"/>
                <w:szCs w:val="24"/>
              </w:rPr>
            </w:pPr>
          </w:p>
        </w:tc>
      </w:tr>
      <w:tr w14:paraId="6D70FDEC">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96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425FFEA">
            <w:pPr>
              <w:widowControl/>
              <w:spacing w:after="150"/>
              <w:jc w:val="center"/>
              <w:rPr>
                <w:rFonts w:ascii="宋体" w:hAnsi="宋体" w:eastAsia="宋体" w:cs="宋体"/>
                <w:kern w:val="0"/>
                <w:sz w:val="24"/>
                <w:szCs w:val="24"/>
              </w:rPr>
            </w:pPr>
            <w:r>
              <w:rPr>
                <w:rFonts w:ascii="Calibri" w:hAnsi="Calibri" w:eastAsia="宋体" w:cs="Calibri"/>
                <w:kern w:val="0"/>
                <w:szCs w:val="21"/>
              </w:rPr>
              <w:t>…</w:t>
            </w: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28CD8C4">
            <w:pPr>
              <w:widowControl/>
              <w:jc w:val="left"/>
              <w:rPr>
                <w:rFonts w:ascii="宋体" w:hAnsi="宋体" w:eastAsia="宋体" w:cs="宋体"/>
                <w:kern w:val="0"/>
                <w:sz w:val="24"/>
                <w:szCs w:val="24"/>
              </w:rPr>
            </w:pPr>
          </w:p>
        </w:tc>
        <w:tc>
          <w:tcPr>
            <w:tcW w:w="169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53547CD8">
            <w:pPr>
              <w:widowControl/>
              <w:jc w:val="left"/>
              <w:rPr>
                <w:rFonts w:ascii="宋体" w:hAnsi="宋体" w:eastAsia="宋体" w:cs="宋体"/>
                <w:kern w:val="0"/>
                <w:sz w:val="24"/>
                <w:szCs w:val="24"/>
              </w:rPr>
            </w:pP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3DEA1003">
            <w:pPr>
              <w:widowControl/>
              <w:jc w:val="left"/>
              <w:rPr>
                <w:rFonts w:ascii="宋体" w:hAnsi="宋体" w:eastAsia="宋体" w:cs="宋体"/>
                <w:kern w:val="0"/>
                <w:sz w:val="24"/>
                <w:szCs w:val="24"/>
              </w:rPr>
            </w:pPr>
          </w:p>
        </w:tc>
        <w:tc>
          <w:tcPr>
            <w:tcW w:w="114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36D9D640">
            <w:pPr>
              <w:widowControl/>
              <w:jc w:val="left"/>
              <w:rPr>
                <w:rFonts w:ascii="宋体" w:hAnsi="宋体" w:eastAsia="宋体" w:cs="宋体"/>
                <w:kern w:val="0"/>
                <w:sz w:val="24"/>
                <w:szCs w:val="24"/>
              </w:rPr>
            </w:pPr>
          </w:p>
        </w:tc>
        <w:tc>
          <w:tcPr>
            <w:tcW w:w="114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70762284">
            <w:pPr>
              <w:widowControl/>
              <w:jc w:val="left"/>
              <w:rPr>
                <w:rFonts w:ascii="宋体" w:hAnsi="宋体" w:eastAsia="宋体" w:cs="宋体"/>
                <w:kern w:val="0"/>
                <w:sz w:val="24"/>
                <w:szCs w:val="24"/>
              </w:rPr>
            </w:pPr>
          </w:p>
        </w:tc>
        <w:tc>
          <w:tcPr>
            <w:tcW w:w="18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1B15FD87">
            <w:pPr>
              <w:widowControl/>
              <w:jc w:val="left"/>
              <w:rPr>
                <w:rFonts w:ascii="宋体" w:hAnsi="宋体" w:eastAsia="宋体" w:cs="宋体"/>
                <w:kern w:val="0"/>
                <w:sz w:val="24"/>
                <w:szCs w:val="24"/>
              </w:rPr>
            </w:pPr>
          </w:p>
        </w:tc>
      </w:tr>
    </w:tbl>
    <w:p w14:paraId="156CAF68">
      <w:pPr>
        <w:widowControl/>
        <w:spacing w:after="150"/>
        <w:jc w:val="left"/>
        <w:rPr>
          <w:rFonts w:ascii="宋体" w:hAnsi="宋体" w:eastAsia="宋体" w:cs="宋体"/>
          <w:kern w:val="0"/>
          <w:sz w:val="24"/>
          <w:szCs w:val="24"/>
        </w:rPr>
      </w:pPr>
      <w:r>
        <w:rPr>
          <w:rFonts w:hint="eastAsia" w:ascii="宋体" w:hAnsi="宋体" w:eastAsia="宋体" w:cs="宋体"/>
          <w:kern w:val="0"/>
          <w:szCs w:val="21"/>
        </w:rPr>
        <w:t>※注意：</w:t>
      </w:r>
    </w:p>
    <w:p w14:paraId="3FF2031E">
      <w:pPr>
        <w:widowControl/>
        <w:spacing w:after="150"/>
        <w:jc w:val="left"/>
        <w:rPr>
          <w:rFonts w:ascii="宋体" w:hAnsi="宋体" w:eastAsia="宋体" w:cs="宋体"/>
          <w:kern w:val="0"/>
          <w:sz w:val="24"/>
          <w:szCs w:val="24"/>
        </w:rPr>
      </w:pPr>
      <w:r>
        <w:rPr>
          <w:rFonts w:hint="eastAsia" w:ascii="宋体" w:hAnsi="宋体" w:eastAsia="宋体" w:cs="宋体"/>
          <w:kern w:val="0"/>
          <w:szCs w:val="21"/>
        </w:rPr>
        <w:t>1、本表应按照下列规定填写：</w:t>
      </w:r>
    </w:p>
    <w:p w14:paraId="7D1E0BDF">
      <w:pPr>
        <w:widowControl/>
        <w:spacing w:after="150"/>
        <w:jc w:val="left"/>
        <w:rPr>
          <w:rFonts w:ascii="宋体" w:hAnsi="宋体" w:eastAsia="宋体" w:cs="宋体"/>
          <w:kern w:val="0"/>
          <w:sz w:val="24"/>
          <w:szCs w:val="24"/>
        </w:rPr>
      </w:pPr>
      <w:r>
        <w:rPr>
          <w:rFonts w:hint="eastAsia" w:ascii="宋体" w:hAnsi="宋体" w:eastAsia="宋体" w:cs="宋体"/>
          <w:kern w:val="0"/>
          <w:szCs w:val="21"/>
        </w:rPr>
        <w:t>1.1“采购包”、“品目号”、“投标标的”及“数量”应与招标文件《采购标的一览表》中的有关内容（“采购包”、“品目号”、“采购标的”及“数量”）保持一致。</w:t>
      </w:r>
    </w:p>
    <w:p w14:paraId="7DD5727F">
      <w:pPr>
        <w:widowControl/>
        <w:spacing w:after="150"/>
        <w:jc w:val="left"/>
        <w:rPr>
          <w:rFonts w:ascii="宋体" w:hAnsi="宋体" w:eastAsia="宋体" w:cs="宋体"/>
          <w:kern w:val="0"/>
          <w:sz w:val="24"/>
          <w:szCs w:val="24"/>
        </w:rPr>
      </w:pPr>
      <w:r>
        <w:rPr>
          <w:rFonts w:hint="eastAsia" w:ascii="宋体" w:hAnsi="宋体" w:eastAsia="宋体" w:cs="宋体"/>
          <w:kern w:val="0"/>
          <w:szCs w:val="21"/>
        </w:rPr>
        <w:t>1.2“投标标的”为货物的：</w:t>
      </w:r>
      <w:r>
        <w:rPr>
          <w:rFonts w:hint="eastAsia" w:ascii="宋体" w:hAnsi="宋体" w:eastAsia="宋体" w:cs="宋体"/>
          <w:b/>
          <w:bCs/>
          <w:kern w:val="0"/>
          <w:szCs w:val="21"/>
        </w:rPr>
        <w:t>“规格”</w:t>
      </w:r>
      <w:r>
        <w:rPr>
          <w:rFonts w:hint="eastAsia" w:ascii="宋体" w:hAnsi="宋体" w:eastAsia="宋体" w:cs="宋体"/>
          <w:kern w:val="0"/>
          <w:szCs w:val="21"/>
        </w:rPr>
        <w:t>项下应填写货物制造厂商赋予的品牌（属于节能、环保清单产品的货物，填写的品牌名称应与清单载明的品牌名称保持一致）及具体型号。</w:t>
      </w:r>
      <w:r>
        <w:rPr>
          <w:rFonts w:hint="eastAsia" w:ascii="宋体" w:hAnsi="宋体" w:eastAsia="宋体" w:cs="宋体"/>
          <w:b/>
          <w:bCs/>
          <w:kern w:val="0"/>
          <w:szCs w:val="21"/>
        </w:rPr>
        <w:t>“来源地”</w:t>
      </w:r>
      <w:r>
        <w:rPr>
          <w:rFonts w:hint="eastAsia" w:ascii="宋体" w:hAnsi="宋体" w:eastAsia="宋体" w:cs="宋体"/>
          <w:kern w:val="0"/>
          <w:szCs w:val="21"/>
        </w:rPr>
        <w:t>应填写货物的原产地。</w:t>
      </w:r>
      <w:r>
        <w:rPr>
          <w:rFonts w:hint="eastAsia" w:ascii="宋体" w:hAnsi="宋体" w:eastAsia="宋体" w:cs="宋体"/>
          <w:b/>
          <w:bCs/>
          <w:kern w:val="0"/>
          <w:szCs w:val="21"/>
        </w:rPr>
        <w:t>“备注”</w:t>
      </w:r>
      <w:r>
        <w:rPr>
          <w:rFonts w:hint="eastAsia" w:ascii="宋体" w:hAnsi="宋体" w:eastAsia="宋体" w:cs="宋体"/>
          <w:kern w:val="0"/>
          <w:szCs w:val="21"/>
        </w:rPr>
        <w:t>项下应填写货物的详细性能说明及供货范围清单（若有），其中供货范围清单包括但不限于：组成货物的主要件和关键件的名称、数量、原产地，专用工具（若有）的名称、数量、原产地，备品备件（若有）的名称、数量、原产地等。</w:t>
      </w:r>
    </w:p>
    <w:p w14:paraId="2CA7488B">
      <w:pPr>
        <w:widowControl/>
        <w:spacing w:after="150"/>
        <w:jc w:val="left"/>
        <w:rPr>
          <w:rFonts w:ascii="宋体" w:hAnsi="宋体" w:eastAsia="宋体" w:cs="宋体"/>
          <w:kern w:val="0"/>
          <w:sz w:val="24"/>
          <w:szCs w:val="24"/>
        </w:rPr>
      </w:pPr>
      <w:r>
        <w:rPr>
          <w:rFonts w:hint="eastAsia" w:ascii="宋体" w:hAnsi="宋体" w:eastAsia="宋体" w:cs="宋体"/>
          <w:kern w:val="0"/>
          <w:szCs w:val="21"/>
        </w:rPr>
        <w:t>1.3“投标标的”为服务的：</w:t>
      </w:r>
      <w:r>
        <w:rPr>
          <w:rFonts w:hint="eastAsia" w:ascii="宋体" w:hAnsi="宋体" w:eastAsia="宋体" w:cs="宋体"/>
          <w:b/>
          <w:bCs/>
          <w:kern w:val="0"/>
          <w:szCs w:val="21"/>
        </w:rPr>
        <w:t>“规格”</w:t>
      </w:r>
      <w:r>
        <w:rPr>
          <w:rFonts w:hint="eastAsia" w:ascii="宋体" w:hAnsi="宋体" w:eastAsia="宋体" w:cs="宋体"/>
          <w:kern w:val="0"/>
          <w:szCs w:val="21"/>
        </w:rPr>
        <w:t>项下应填写服务提供者提供的服务标准及品牌（若有）。</w:t>
      </w:r>
      <w:r>
        <w:rPr>
          <w:rFonts w:hint="eastAsia" w:ascii="宋体" w:hAnsi="宋体" w:eastAsia="宋体" w:cs="宋体"/>
          <w:b/>
          <w:bCs/>
          <w:kern w:val="0"/>
          <w:szCs w:val="21"/>
        </w:rPr>
        <w:t>“来源地”</w:t>
      </w:r>
      <w:r>
        <w:rPr>
          <w:rFonts w:hint="eastAsia" w:ascii="宋体" w:hAnsi="宋体" w:eastAsia="宋体" w:cs="宋体"/>
          <w:kern w:val="0"/>
          <w:szCs w:val="21"/>
        </w:rPr>
        <w:t>应填写服务提供者的所在地。</w:t>
      </w:r>
      <w:r>
        <w:rPr>
          <w:rFonts w:hint="eastAsia" w:ascii="宋体" w:hAnsi="宋体" w:eastAsia="宋体" w:cs="宋体"/>
          <w:b/>
          <w:bCs/>
          <w:kern w:val="0"/>
          <w:szCs w:val="21"/>
        </w:rPr>
        <w:t>“备注”</w:t>
      </w:r>
      <w:r>
        <w:rPr>
          <w:rFonts w:hint="eastAsia" w:ascii="宋体" w:hAnsi="宋体" w:eastAsia="宋体" w:cs="宋体"/>
          <w:kern w:val="0"/>
          <w:szCs w:val="21"/>
        </w:rPr>
        <w:t>项下应填写关于服务标准所涵盖的具体项目或内容的说明等。</w:t>
      </w:r>
    </w:p>
    <w:p w14:paraId="69D95720">
      <w:pPr>
        <w:widowControl/>
        <w:spacing w:after="150"/>
        <w:jc w:val="left"/>
        <w:rPr>
          <w:rFonts w:ascii="宋体" w:hAnsi="宋体" w:eastAsia="宋体" w:cs="宋体"/>
          <w:kern w:val="0"/>
          <w:sz w:val="24"/>
          <w:szCs w:val="24"/>
        </w:rPr>
      </w:pPr>
      <w:r>
        <w:rPr>
          <w:rFonts w:hint="eastAsia" w:ascii="宋体" w:hAnsi="宋体" w:eastAsia="宋体" w:cs="宋体"/>
          <w:kern w:val="0"/>
          <w:szCs w:val="21"/>
        </w:rPr>
        <w:t>2、投标人需要说明的内容若需特殊表达，应先在本表中进行相应说明，再另页应答，但应做好标注说明，方便评委查阅评审。未标注说明可能导致的不利的评审后果由投标人自行承担。</w:t>
      </w:r>
    </w:p>
    <w:p w14:paraId="43378EDF">
      <w:pPr>
        <w:widowControl/>
        <w:spacing w:after="150"/>
        <w:jc w:val="left"/>
        <w:rPr>
          <w:rFonts w:ascii="宋体" w:hAnsi="宋体" w:eastAsia="宋体" w:cs="宋体"/>
          <w:kern w:val="0"/>
          <w:sz w:val="24"/>
          <w:szCs w:val="24"/>
        </w:rPr>
      </w:pPr>
      <w:r>
        <w:rPr>
          <w:rFonts w:hint="eastAsia" w:ascii="宋体" w:hAnsi="宋体" w:eastAsia="宋体" w:cs="宋体"/>
          <w:kern w:val="0"/>
          <w:szCs w:val="21"/>
        </w:rPr>
        <w:t>3、投标文件中涉及</w:t>
      </w:r>
      <w:r>
        <w:rPr>
          <w:rFonts w:hint="eastAsia" w:ascii="宋体" w:hAnsi="宋体" w:eastAsia="宋体" w:cs="宋体"/>
          <w:b/>
          <w:bCs/>
          <w:kern w:val="0"/>
          <w:szCs w:val="21"/>
        </w:rPr>
        <w:t>“投标标的”、“数量”、“规格”、“来源地”</w:t>
      </w:r>
      <w:r>
        <w:rPr>
          <w:rFonts w:hint="eastAsia" w:ascii="宋体" w:hAnsi="宋体" w:eastAsia="宋体" w:cs="宋体"/>
          <w:kern w:val="0"/>
          <w:szCs w:val="21"/>
        </w:rPr>
        <w:t>的内容若不一致，</w:t>
      </w:r>
      <w:r>
        <w:rPr>
          <w:rFonts w:hint="eastAsia" w:ascii="宋体" w:hAnsi="宋体" w:eastAsia="宋体" w:cs="宋体"/>
          <w:b/>
          <w:bCs/>
          <w:kern w:val="0"/>
          <w:szCs w:val="21"/>
        </w:rPr>
        <w:t>应以本表为准</w:t>
      </w:r>
      <w:r>
        <w:rPr>
          <w:rFonts w:hint="eastAsia" w:ascii="宋体" w:hAnsi="宋体" w:eastAsia="宋体" w:cs="宋体"/>
          <w:kern w:val="0"/>
          <w:szCs w:val="21"/>
        </w:rPr>
        <w:t>。</w:t>
      </w:r>
    </w:p>
    <w:p w14:paraId="713E709A">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14:paraId="1DE70D35">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14:paraId="2AA12014">
      <w:pPr>
        <w:widowControl/>
        <w:spacing w:after="150"/>
        <w:jc w:val="left"/>
        <w:rPr>
          <w:rFonts w:ascii="宋体" w:hAnsi="宋体" w:eastAsia="宋体" w:cs="宋体"/>
          <w:kern w:val="0"/>
          <w:sz w:val="24"/>
          <w:szCs w:val="24"/>
        </w:rPr>
      </w:pPr>
      <w:r>
        <w:rPr>
          <w:rFonts w:hint="eastAsia" w:ascii="宋体" w:hAnsi="宋体" w:eastAsia="宋体" w:cs="宋体"/>
          <w:kern w:val="0"/>
          <w:szCs w:val="21"/>
        </w:rPr>
        <w:t>投标人：</w:t>
      </w:r>
      <w:r>
        <w:rPr>
          <w:rFonts w:hint="eastAsia" w:ascii="宋体" w:hAnsi="宋体" w:eastAsia="宋体" w:cs="宋体"/>
          <w:kern w:val="0"/>
          <w:szCs w:val="21"/>
          <w:u w:val="single"/>
        </w:rPr>
        <w:t>（全称并加盖单位公章）</w:t>
      </w:r>
    </w:p>
    <w:p w14:paraId="0290D14F">
      <w:pPr>
        <w:widowControl/>
        <w:spacing w:after="150"/>
        <w:jc w:val="left"/>
        <w:rPr>
          <w:rFonts w:ascii="宋体" w:hAnsi="宋体" w:eastAsia="宋体" w:cs="宋体"/>
          <w:kern w:val="0"/>
          <w:sz w:val="24"/>
          <w:szCs w:val="24"/>
        </w:rPr>
      </w:pPr>
      <w:r>
        <w:rPr>
          <w:rFonts w:hint="eastAsia" w:ascii="宋体" w:hAnsi="宋体" w:eastAsia="宋体" w:cs="宋体"/>
          <w:kern w:val="0"/>
          <w:szCs w:val="21"/>
        </w:rPr>
        <w:t>日期：</w:t>
      </w:r>
      <w:r>
        <w:rPr>
          <w:rFonts w:hint="eastAsia" w:ascii="宋体" w:hAnsi="宋体" w:eastAsia="宋体" w:cs="宋体"/>
          <w:kern w:val="0"/>
          <w:szCs w:val="21"/>
          <w:u w:val="single"/>
        </w:rPr>
        <w:t>    </w:t>
      </w:r>
      <w:r>
        <w:rPr>
          <w:rFonts w:hint="eastAsia" w:ascii="宋体" w:hAnsi="宋体" w:eastAsia="宋体" w:cs="宋体"/>
          <w:kern w:val="0"/>
          <w:szCs w:val="21"/>
        </w:rPr>
        <w:t>年</w:t>
      </w:r>
      <w:r>
        <w:rPr>
          <w:rFonts w:hint="eastAsia" w:ascii="宋体" w:hAnsi="宋体" w:eastAsia="宋体" w:cs="宋体"/>
          <w:kern w:val="0"/>
          <w:szCs w:val="21"/>
          <w:u w:val="single"/>
        </w:rPr>
        <w:t>   </w:t>
      </w:r>
      <w:r>
        <w:rPr>
          <w:rFonts w:hint="eastAsia" w:ascii="宋体" w:hAnsi="宋体" w:eastAsia="宋体" w:cs="宋体"/>
          <w:kern w:val="0"/>
          <w:szCs w:val="21"/>
        </w:rPr>
        <w:t>月</w:t>
      </w:r>
      <w:r>
        <w:rPr>
          <w:rFonts w:hint="eastAsia" w:ascii="宋体" w:hAnsi="宋体" w:eastAsia="宋体" w:cs="宋体"/>
          <w:kern w:val="0"/>
          <w:szCs w:val="21"/>
          <w:u w:val="single"/>
        </w:rPr>
        <w:t>   </w:t>
      </w:r>
      <w:r>
        <w:rPr>
          <w:rFonts w:hint="eastAsia" w:ascii="宋体" w:hAnsi="宋体" w:eastAsia="宋体" w:cs="宋体"/>
          <w:kern w:val="0"/>
          <w:szCs w:val="21"/>
        </w:rPr>
        <w:t>日</w:t>
      </w:r>
    </w:p>
    <w:p w14:paraId="463BBAF6">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14:paraId="49000E0E">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14:paraId="33923BF7">
      <w:pPr>
        <w:widowControl/>
        <w:spacing w:after="150"/>
        <w:jc w:val="center"/>
        <w:rPr>
          <w:rFonts w:ascii="宋体" w:hAnsi="宋体" w:eastAsia="宋体" w:cs="宋体"/>
          <w:kern w:val="0"/>
          <w:sz w:val="24"/>
          <w:szCs w:val="24"/>
        </w:rPr>
      </w:pPr>
      <w:r>
        <w:rPr>
          <w:rFonts w:ascii="Calibri" w:hAnsi="Calibri" w:eastAsia="宋体" w:cs="Calibri"/>
          <w:b/>
          <w:bCs/>
          <w:kern w:val="0"/>
          <w:szCs w:val="21"/>
        </w:rPr>
        <w:br w:type="textWrapping"/>
      </w:r>
      <w:r>
        <w:rPr>
          <w:rFonts w:hint="eastAsia" w:ascii="宋体" w:hAnsi="宋体" w:eastAsia="宋体" w:cs="宋体"/>
          <w:b/>
          <w:bCs/>
          <w:kern w:val="0"/>
          <w:szCs w:val="21"/>
        </w:rPr>
        <w:t>二、技术和服务要求响应表</w:t>
      </w:r>
    </w:p>
    <w:p w14:paraId="4734FCCF">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14:paraId="72D21278">
      <w:pPr>
        <w:widowControl/>
        <w:spacing w:after="150"/>
        <w:jc w:val="left"/>
        <w:rPr>
          <w:rFonts w:ascii="宋体" w:hAnsi="宋体" w:eastAsia="宋体" w:cs="宋体"/>
          <w:kern w:val="0"/>
          <w:sz w:val="24"/>
          <w:szCs w:val="24"/>
        </w:rPr>
      </w:pPr>
      <w:r>
        <w:rPr>
          <w:rFonts w:hint="eastAsia" w:ascii="宋体" w:hAnsi="宋体" w:eastAsia="宋体" w:cs="宋体"/>
          <w:kern w:val="0"/>
          <w:szCs w:val="21"/>
        </w:rPr>
        <w:t>项目编号：</w:t>
      </w:r>
      <w:r>
        <w:rPr>
          <w:rFonts w:hint="eastAsia" w:ascii="宋体" w:hAnsi="宋体" w:eastAsia="宋体" w:cs="宋体"/>
          <w:kern w:val="0"/>
          <w:szCs w:val="21"/>
          <w:u w:val="single"/>
        </w:rPr>
        <w:t>                   </w:t>
      </w:r>
    </w:p>
    <w:tbl>
      <w:tblPr>
        <w:tblStyle w:val="9"/>
        <w:tblW w:w="8520" w:type="dxa"/>
        <w:tblInd w:w="0" w:type="dxa"/>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960"/>
        <w:gridCol w:w="855"/>
        <w:gridCol w:w="2970"/>
        <w:gridCol w:w="1845"/>
        <w:gridCol w:w="1890"/>
      </w:tblGrid>
      <w:tr w14:paraId="33776A23">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255" w:hRule="atLeast"/>
        </w:trPr>
        <w:tc>
          <w:tcPr>
            <w:tcW w:w="96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830CF63">
            <w:pPr>
              <w:widowControl/>
              <w:spacing w:after="150"/>
              <w:jc w:val="center"/>
              <w:rPr>
                <w:rFonts w:ascii="宋体" w:hAnsi="宋体" w:eastAsia="宋体" w:cs="宋体"/>
                <w:kern w:val="0"/>
                <w:sz w:val="24"/>
                <w:szCs w:val="24"/>
              </w:rPr>
            </w:pPr>
            <w:r>
              <w:rPr>
                <w:rFonts w:hint="eastAsia" w:ascii="宋体" w:hAnsi="宋体" w:eastAsia="宋体" w:cs="宋体"/>
                <w:kern w:val="0"/>
                <w:szCs w:val="21"/>
              </w:rPr>
              <w:t>采购包</w:t>
            </w:r>
          </w:p>
        </w:tc>
        <w:tc>
          <w:tcPr>
            <w:tcW w:w="85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5ED3F06">
            <w:pPr>
              <w:widowControl/>
              <w:spacing w:after="150"/>
              <w:jc w:val="center"/>
              <w:rPr>
                <w:rFonts w:ascii="宋体" w:hAnsi="宋体" w:eastAsia="宋体" w:cs="宋体"/>
                <w:kern w:val="0"/>
                <w:sz w:val="24"/>
                <w:szCs w:val="24"/>
              </w:rPr>
            </w:pPr>
            <w:r>
              <w:rPr>
                <w:rFonts w:hint="eastAsia" w:ascii="宋体" w:hAnsi="宋体" w:eastAsia="宋体" w:cs="宋体"/>
                <w:kern w:val="0"/>
                <w:szCs w:val="21"/>
              </w:rPr>
              <w:t>品目号</w:t>
            </w:r>
          </w:p>
        </w:tc>
        <w:tc>
          <w:tcPr>
            <w:tcW w:w="297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DEEDA33">
            <w:pPr>
              <w:widowControl/>
              <w:spacing w:after="150"/>
              <w:jc w:val="center"/>
              <w:rPr>
                <w:rFonts w:ascii="宋体" w:hAnsi="宋体" w:eastAsia="宋体" w:cs="宋体"/>
                <w:kern w:val="0"/>
                <w:sz w:val="24"/>
                <w:szCs w:val="24"/>
              </w:rPr>
            </w:pPr>
            <w:r>
              <w:rPr>
                <w:rFonts w:hint="eastAsia" w:ascii="宋体" w:hAnsi="宋体" w:eastAsia="宋体" w:cs="宋体"/>
                <w:kern w:val="0"/>
                <w:szCs w:val="21"/>
              </w:rPr>
              <w:t>技术和服务要求</w:t>
            </w:r>
          </w:p>
        </w:tc>
        <w:tc>
          <w:tcPr>
            <w:tcW w:w="184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D949C8A">
            <w:pPr>
              <w:widowControl/>
              <w:spacing w:after="150"/>
              <w:jc w:val="center"/>
              <w:rPr>
                <w:rFonts w:ascii="宋体" w:hAnsi="宋体" w:eastAsia="宋体" w:cs="宋体"/>
                <w:kern w:val="0"/>
                <w:sz w:val="24"/>
                <w:szCs w:val="24"/>
              </w:rPr>
            </w:pPr>
            <w:r>
              <w:rPr>
                <w:rFonts w:hint="eastAsia" w:ascii="宋体" w:hAnsi="宋体" w:eastAsia="宋体" w:cs="宋体"/>
                <w:kern w:val="0"/>
                <w:szCs w:val="21"/>
              </w:rPr>
              <w:t>投标响应</w:t>
            </w:r>
          </w:p>
        </w:tc>
        <w:tc>
          <w:tcPr>
            <w:tcW w:w="189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73E49AE">
            <w:pPr>
              <w:widowControl/>
              <w:spacing w:after="150"/>
              <w:jc w:val="center"/>
              <w:rPr>
                <w:rFonts w:ascii="宋体" w:hAnsi="宋体" w:eastAsia="宋体" w:cs="宋体"/>
                <w:kern w:val="0"/>
                <w:sz w:val="24"/>
                <w:szCs w:val="24"/>
              </w:rPr>
            </w:pPr>
            <w:r>
              <w:rPr>
                <w:rFonts w:hint="eastAsia" w:ascii="宋体" w:hAnsi="宋体" w:eastAsia="宋体" w:cs="宋体"/>
                <w:kern w:val="0"/>
                <w:szCs w:val="21"/>
              </w:rPr>
              <w:t>是否偏离及说明</w:t>
            </w:r>
          </w:p>
        </w:tc>
      </w:tr>
      <w:tr w14:paraId="66DF3B9B">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960"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D73A31A">
            <w:pPr>
              <w:widowControl/>
              <w:spacing w:after="150"/>
              <w:jc w:val="center"/>
              <w:rPr>
                <w:rFonts w:ascii="宋体" w:hAnsi="宋体" w:eastAsia="宋体" w:cs="宋体"/>
                <w:kern w:val="0"/>
                <w:sz w:val="24"/>
                <w:szCs w:val="24"/>
              </w:rPr>
            </w:pPr>
            <w:r>
              <w:rPr>
                <w:rFonts w:hint="eastAsia" w:ascii="宋体" w:hAnsi="宋体" w:eastAsia="宋体" w:cs="宋体"/>
                <w:kern w:val="0"/>
                <w:szCs w:val="21"/>
              </w:rPr>
              <w:t>*</w:t>
            </w: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B0FEB9D">
            <w:pPr>
              <w:widowControl/>
              <w:spacing w:after="150"/>
              <w:jc w:val="center"/>
              <w:rPr>
                <w:rFonts w:ascii="宋体" w:hAnsi="宋体" w:eastAsia="宋体" w:cs="宋体"/>
                <w:kern w:val="0"/>
                <w:sz w:val="24"/>
                <w:szCs w:val="24"/>
              </w:rPr>
            </w:pPr>
            <w:r>
              <w:rPr>
                <w:rFonts w:hint="eastAsia" w:ascii="宋体" w:hAnsi="宋体" w:eastAsia="宋体" w:cs="宋体"/>
                <w:kern w:val="0"/>
                <w:szCs w:val="21"/>
              </w:rPr>
              <w:t>*-1</w:t>
            </w:r>
          </w:p>
        </w:tc>
        <w:tc>
          <w:tcPr>
            <w:tcW w:w="29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16922532">
            <w:pPr>
              <w:widowControl/>
              <w:jc w:val="left"/>
              <w:rPr>
                <w:rFonts w:ascii="宋体" w:hAnsi="宋体" w:eastAsia="宋体" w:cs="宋体"/>
                <w:kern w:val="0"/>
                <w:sz w:val="24"/>
                <w:szCs w:val="24"/>
              </w:rPr>
            </w:pPr>
          </w:p>
        </w:tc>
        <w:tc>
          <w:tcPr>
            <w:tcW w:w="18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17BBD87E">
            <w:pPr>
              <w:widowControl/>
              <w:jc w:val="left"/>
              <w:rPr>
                <w:rFonts w:ascii="宋体" w:hAnsi="宋体" w:eastAsia="宋体" w:cs="宋体"/>
                <w:kern w:val="0"/>
                <w:sz w:val="24"/>
                <w:szCs w:val="24"/>
              </w:rPr>
            </w:pPr>
          </w:p>
        </w:tc>
        <w:tc>
          <w:tcPr>
            <w:tcW w:w="18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69353B71">
            <w:pPr>
              <w:widowControl/>
              <w:jc w:val="left"/>
              <w:rPr>
                <w:rFonts w:ascii="宋体" w:hAnsi="宋体" w:eastAsia="宋体" w:cs="宋体"/>
                <w:kern w:val="0"/>
                <w:sz w:val="24"/>
                <w:szCs w:val="24"/>
              </w:rPr>
            </w:pPr>
          </w:p>
        </w:tc>
      </w:tr>
      <w:tr w14:paraId="7AC17DAA">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0" w:type="auto"/>
            <w:vMerge w:val="continue"/>
            <w:tcBorders>
              <w:top w:val="nil"/>
              <w:left w:val="single" w:color="auto" w:sz="6" w:space="0"/>
              <w:bottom w:val="single" w:color="auto" w:sz="6" w:space="0"/>
              <w:right w:val="single" w:color="auto" w:sz="6" w:space="0"/>
            </w:tcBorders>
            <w:shd w:val="clear" w:color="auto" w:fill="auto"/>
            <w:vAlign w:val="center"/>
          </w:tcPr>
          <w:p w14:paraId="33D1A6D9">
            <w:pPr>
              <w:widowControl/>
              <w:jc w:val="left"/>
              <w:rPr>
                <w:rFonts w:ascii="宋体" w:hAnsi="宋体" w:eastAsia="宋体" w:cs="宋体"/>
                <w:kern w:val="0"/>
                <w:sz w:val="24"/>
                <w:szCs w:val="24"/>
              </w:rPr>
            </w:pP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42F034C">
            <w:pPr>
              <w:widowControl/>
              <w:spacing w:after="150"/>
              <w:jc w:val="center"/>
              <w:rPr>
                <w:rFonts w:ascii="宋体" w:hAnsi="宋体" w:eastAsia="宋体" w:cs="宋体"/>
                <w:kern w:val="0"/>
                <w:sz w:val="24"/>
                <w:szCs w:val="24"/>
              </w:rPr>
            </w:pPr>
            <w:r>
              <w:rPr>
                <w:rFonts w:ascii="Calibri" w:hAnsi="Calibri" w:eastAsia="宋体" w:cs="Calibri"/>
                <w:kern w:val="0"/>
                <w:szCs w:val="21"/>
              </w:rPr>
              <w:t>…</w:t>
            </w:r>
          </w:p>
        </w:tc>
        <w:tc>
          <w:tcPr>
            <w:tcW w:w="29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4BCE74DE">
            <w:pPr>
              <w:widowControl/>
              <w:jc w:val="left"/>
              <w:rPr>
                <w:rFonts w:ascii="宋体" w:hAnsi="宋体" w:eastAsia="宋体" w:cs="宋体"/>
                <w:kern w:val="0"/>
                <w:sz w:val="24"/>
                <w:szCs w:val="24"/>
              </w:rPr>
            </w:pPr>
          </w:p>
        </w:tc>
        <w:tc>
          <w:tcPr>
            <w:tcW w:w="18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325209E3">
            <w:pPr>
              <w:widowControl/>
              <w:jc w:val="left"/>
              <w:rPr>
                <w:rFonts w:ascii="宋体" w:hAnsi="宋体" w:eastAsia="宋体" w:cs="宋体"/>
                <w:kern w:val="0"/>
                <w:sz w:val="24"/>
                <w:szCs w:val="24"/>
              </w:rPr>
            </w:pPr>
          </w:p>
        </w:tc>
        <w:tc>
          <w:tcPr>
            <w:tcW w:w="18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0BA144C1">
            <w:pPr>
              <w:widowControl/>
              <w:jc w:val="left"/>
              <w:rPr>
                <w:rFonts w:ascii="宋体" w:hAnsi="宋体" w:eastAsia="宋体" w:cs="宋体"/>
                <w:kern w:val="0"/>
                <w:sz w:val="24"/>
                <w:szCs w:val="24"/>
              </w:rPr>
            </w:pPr>
          </w:p>
        </w:tc>
      </w:tr>
      <w:tr w14:paraId="70362A13">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96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D7C8FCA">
            <w:pPr>
              <w:widowControl/>
              <w:spacing w:after="150"/>
              <w:jc w:val="center"/>
              <w:rPr>
                <w:rFonts w:ascii="宋体" w:hAnsi="宋体" w:eastAsia="宋体" w:cs="宋体"/>
                <w:kern w:val="0"/>
                <w:sz w:val="24"/>
                <w:szCs w:val="24"/>
              </w:rPr>
            </w:pPr>
            <w:r>
              <w:rPr>
                <w:rFonts w:ascii="Calibri" w:hAnsi="Calibri" w:eastAsia="宋体" w:cs="Calibri"/>
                <w:kern w:val="0"/>
                <w:szCs w:val="21"/>
              </w:rPr>
              <w:t>…</w:t>
            </w: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B458AD5">
            <w:pPr>
              <w:widowControl/>
              <w:jc w:val="left"/>
              <w:rPr>
                <w:rFonts w:ascii="宋体" w:hAnsi="宋体" w:eastAsia="宋体" w:cs="宋体"/>
                <w:kern w:val="0"/>
                <w:sz w:val="24"/>
                <w:szCs w:val="24"/>
              </w:rPr>
            </w:pPr>
          </w:p>
        </w:tc>
        <w:tc>
          <w:tcPr>
            <w:tcW w:w="29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143954E">
            <w:pPr>
              <w:widowControl/>
              <w:jc w:val="left"/>
              <w:rPr>
                <w:rFonts w:ascii="宋体" w:hAnsi="宋体" w:eastAsia="宋体" w:cs="宋体"/>
                <w:kern w:val="0"/>
                <w:sz w:val="24"/>
                <w:szCs w:val="24"/>
              </w:rPr>
            </w:pPr>
          </w:p>
        </w:tc>
        <w:tc>
          <w:tcPr>
            <w:tcW w:w="18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F496193">
            <w:pPr>
              <w:widowControl/>
              <w:jc w:val="left"/>
              <w:rPr>
                <w:rFonts w:ascii="宋体" w:hAnsi="宋体" w:eastAsia="宋体" w:cs="宋体"/>
                <w:kern w:val="0"/>
                <w:sz w:val="24"/>
                <w:szCs w:val="24"/>
              </w:rPr>
            </w:pPr>
          </w:p>
        </w:tc>
        <w:tc>
          <w:tcPr>
            <w:tcW w:w="18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6F0C6FD">
            <w:pPr>
              <w:widowControl/>
              <w:jc w:val="left"/>
              <w:rPr>
                <w:rFonts w:ascii="宋体" w:hAnsi="宋体" w:eastAsia="宋体" w:cs="宋体"/>
                <w:kern w:val="0"/>
                <w:sz w:val="24"/>
                <w:szCs w:val="24"/>
              </w:rPr>
            </w:pPr>
          </w:p>
        </w:tc>
      </w:tr>
    </w:tbl>
    <w:p w14:paraId="5A544AF7">
      <w:pPr>
        <w:widowControl/>
        <w:spacing w:after="150"/>
        <w:jc w:val="left"/>
        <w:rPr>
          <w:rFonts w:ascii="宋体" w:hAnsi="宋体" w:eastAsia="宋体" w:cs="宋体"/>
          <w:kern w:val="0"/>
          <w:sz w:val="24"/>
          <w:szCs w:val="24"/>
        </w:rPr>
      </w:pPr>
      <w:r>
        <w:rPr>
          <w:rFonts w:hint="eastAsia" w:ascii="宋体" w:hAnsi="宋体" w:eastAsia="宋体" w:cs="宋体"/>
          <w:kern w:val="0"/>
          <w:szCs w:val="21"/>
        </w:rPr>
        <w:t>※注意：</w:t>
      </w:r>
    </w:p>
    <w:p w14:paraId="0542462D">
      <w:pPr>
        <w:widowControl/>
        <w:spacing w:after="150"/>
        <w:jc w:val="left"/>
        <w:rPr>
          <w:rFonts w:ascii="宋体" w:hAnsi="宋体" w:eastAsia="宋体" w:cs="宋体"/>
          <w:kern w:val="0"/>
          <w:sz w:val="24"/>
          <w:szCs w:val="24"/>
        </w:rPr>
      </w:pPr>
      <w:r>
        <w:rPr>
          <w:rFonts w:hint="eastAsia" w:ascii="宋体" w:hAnsi="宋体" w:eastAsia="宋体" w:cs="宋体"/>
          <w:kern w:val="0"/>
          <w:szCs w:val="21"/>
        </w:rPr>
        <w:t>1、本表应按照下列规定填写：</w:t>
      </w:r>
    </w:p>
    <w:p w14:paraId="5F57795D">
      <w:pPr>
        <w:widowControl/>
        <w:spacing w:after="150"/>
        <w:jc w:val="left"/>
        <w:rPr>
          <w:rFonts w:ascii="宋体" w:hAnsi="宋体" w:eastAsia="宋体" w:cs="宋体"/>
          <w:kern w:val="0"/>
          <w:sz w:val="24"/>
          <w:szCs w:val="24"/>
        </w:rPr>
      </w:pPr>
      <w:r>
        <w:rPr>
          <w:rFonts w:hint="eastAsia" w:ascii="宋体" w:hAnsi="宋体" w:eastAsia="宋体" w:cs="宋体"/>
          <w:kern w:val="0"/>
          <w:szCs w:val="21"/>
        </w:rPr>
        <w:t>1.1“技术和服务要求”项下填写的内容应与招标文件第五章“技术和服务要求”的内容保持一致。</w:t>
      </w:r>
    </w:p>
    <w:p w14:paraId="5C72B6A0">
      <w:pPr>
        <w:widowControl/>
        <w:spacing w:after="150"/>
        <w:jc w:val="left"/>
        <w:rPr>
          <w:rFonts w:ascii="宋体" w:hAnsi="宋体" w:eastAsia="宋体" w:cs="宋体"/>
          <w:kern w:val="0"/>
          <w:sz w:val="24"/>
          <w:szCs w:val="24"/>
        </w:rPr>
      </w:pPr>
      <w:r>
        <w:rPr>
          <w:rFonts w:hint="eastAsia" w:ascii="宋体" w:hAnsi="宋体" w:eastAsia="宋体" w:cs="宋体"/>
          <w:kern w:val="0"/>
          <w:szCs w:val="21"/>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670A125E">
      <w:pPr>
        <w:widowControl/>
        <w:spacing w:after="150"/>
        <w:jc w:val="left"/>
        <w:rPr>
          <w:rFonts w:ascii="宋体" w:hAnsi="宋体" w:eastAsia="宋体" w:cs="宋体"/>
          <w:kern w:val="0"/>
          <w:sz w:val="24"/>
          <w:szCs w:val="24"/>
        </w:rPr>
      </w:pPr>
      <w:r>
        <w:rPr>
          <w:rFonts w:hint="eastAsia" w:ascii="宋体" w:hAnsi="宋体" w:eastAsia="宋体" w:cs="宋体"/>
          <w:kern w:val="0"/>
          <w:szCs w:val="21"/>
        </w:rPr>
        <w:t>1.3“是否偏离及说明”项下应按下列规定填写：优于的，填写“正偏离”；符合的，填写“无偏离”；低于的，填写“负偏离”。</w:t>
      </w:r>
    </w:p>
    <w:p w14:paraId="25A415FE">
      <w:pPr>
        <w:widowControl/>
        <w:spacing w:before="75" w:after="75"/>
        <w:jc w:val="left"/>
        <w:rPr>
          <w:rFonts w:ascii="宋体" w:hAnsi="宋体" w:eastAsia="宋体" w:cs="宋体"/>
          <w:kern w:val="0"/>
          <w:sz w:val="24"/>
          <w:szCs w:val="24"/>
        </w:rPr>
      </w:pPr>
      <w:r>
        <w:rPr>
          <w:rFonts w:hint="eastAsia" w:ascii="宋体" w:hAnsi="宋体" w:eastAsia="宋体" w:cs="宋体"/>
          <w:kern w:val="0"/>
          <w:szCs w:val="21"/>
        </w:rPr>
        <w:t>2、投标人需要说明的内容若需特殊表达，应先在本表中进行相应说明，再另页应答，但应做好标注说明，方便评委查阅评审。未标注说明可能导致的不利的评审后果由投标人自行承担。</w:t>
      </w:r>
    </w:p>
    <w:p w14:paraId="4A8920FA">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14:paraId="1C2251C5">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14:paraId="77B8BBDC">
      <w:pPr>
        <w:widowControl/>
        <w:spacing w:after="150"/>
        <w:jc w:val="left"/>
        <w:rPr>
          <w:rFonts w:ascii="宋体" w:hAnsi="宋体" w:eastAsia="宋体" w:cs="宋体"/>
          <w:kern w:val="0"/>
          <w:sz w:val="24"/>
          <w:szCs w:val="24"/>
        </w:rPr>
      </w:pPr>
      <w:r>
        <w:rPr>
          <w:rFonts w:hint="eastAsia" w:ascii="宋体" w:hAnsi="宋体" w:eastAsia="宋体" w:cs="宋体"/>
          <w:kern w:val="0"/>
          <w:szCs w:val="21"/>
        </w:rPr>
        <w:t>投标人：</w:t>
      </w:r>
      <w:r>
        <w:rPr>
          <w:rFonts w:hint="eastAsia" w:ascii="宋体" w:hAnsi="宋体" w:eastAsia="宋体" w:cs="宋体"/>
          <w:kern w:val="0"/>
          <w:szCs w:val="21"/>
          <w:u w:val="single"/>
        </w:rPr>
        <w:t>（全称并加盖单位公章）</w:t>
      </w:r>
    </w:p>
    <w:p w14:paraId="0B259D21">
      <w:pPr>
        <w:widowControl/>
        <w:spacing w:after="150"/>
        <w:jc w:val="left"/>
        <w:rPr>
          <w:rFonts w:ascii="宋体" w:hAnsi="宋体" w:eastAsia="宋体" w:cs="宋体"/>
          <w:kern w:val="0"/>
          <w:sz w:val="24"/>
          <w:szCs w:val="24"/>
        </w:rPr>
      </w:pPr>
      <w:r>
        <w:rPr>
          <w:rFonts w:hint="eastAsia" w:ascii="宋体" w:hAnsi="宋体" w:eastAsia="宋体" w:cs="宋体"/>
          <w:kern w:val="0"/>
          <w:szCs w:val="21"/>
        </w:rPr>
        <w:t>日期：</w:t>
      </w:r>
      <w:r>
        <w:rPr>
          <w:rFonts w:hint="eastAsia" w:ascii="宋体" w:hAnsi="宋体" w:eastAsia="宋体" w:cs="宋体"/>
          <w:kern w:val="0"/>
          <w:szCs w:val="21"/>
          <w:u w:val="single"/>
        </w:rPr>
        <w:t>    </w:t>
      </w:r>
      <w:r>
        <w:rPr>
          <w:rFonts w:hint="eastAsia" w:ascii="宋体" w:hAnsi="宋体" w:eastAsia="宋体" w:cs="宋体"/>
          <w:kern w:val="0"/>
          <w:szCs w:val="21"/>
        </w:rPr>
        <w:t>年</w:t>
      </w:r>
      <w:r>
        <w:rPr>
          <w:rFonts w:hint="eastAsia" w:ascii="宋体" w:hAnsi="宋体" w:eastAsia="宋体" w:cs="宋体"/>
          <w:kern w:val="0"/>
          <w:szCs w:val="21"/>
          <w:u w:val="single"/>
        </w:rPr>
        <w:t>   </w:t>
      </w:r>
      <w:r>
        <w:rPr>
          <w:rFonts w:hint="eastAsia" w:ascii="宋体" w:hAnsi="宋体" w:eastAsia="宋体" w:cs="宋体"/>
          <w:kern w:val="0"/>
          <w:szCs w:val="21"/>
        </w:rPr>
        <w:t>月</w:t>
      </w:r>
      <w:r>
        <w:rPr>
          <w:rFonts w:hint="eastAsia" w:ascii="宋体" w:hAnsi="宋体" w:eastAsia="宋体" w:cs="宋体"/>
          <w:kern w:val="0"/>
          <w:szCs w:val="21"/>
          <w:u w:val="single"/>
        </w:rPr>
        <w:t>   </w:t>
      </w:r>
      <w:r>
        <w:rPr>
          <w:rFonts w:hint="eastAsia" w:ascii="宋体" w:hAnsi="宋体" w:eastAsia="宋体" w:cs="宋体"/>
          <w:kern w:val="0"/>
          <w:szCs w:val="21"/>
        </w:rPr>
        <w:t>日</w:t>
      </w:r>
    </w:p>
    <w:p w14:paraId="2426A446">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14:paraId="018CC2C4">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14:paraId="6C93621E">
      <w:pPr>
        <w:widowControl/>
        <w:spacing w:after="150"/>
        <w:jc w:val="center"/>
        <w:rPr>
          <w:rFonts w:ascii="宋体" w:hAnsi="宋体" w:eastAsia="宋体" w:cs="宋体"/>
          <w:kern w:val="0"/>
          <w:sz w:val="24"/>
          <w:szCs w:val="24"/>
        </w:rPr>
      </w:pPr>
      <w:r>
        <w:rPr>
          <w:rFonts w:ascii="Calibri" w:hAnsi="Calibri" w:eastAsia="宋体" w:cs="Calibri"/>
          <w:kern w:val="0"/>
          <w:szCs w:val="21"/>
        </w:rPr>
        <w:br w:type="textWrapping"/>
      </w:r>
      <w:r>
        <w:rPr>
          <w:rFonts w:hint="eastAsia" w:ascii="宋体" w:hAnsi="宋体" w:eastAsia="宋体" w:cs="宋体"/>
          <w:b/>
          <w:bCs/>
          <w:kern w:val="0"/>
          <w:szCs w:val="21"/>
        </w:rPr>
        <w:t>三、商务条件响应表</w:t>
      </w:r>
    </w:p>
    <w:p w14:paraId="7B6099C5">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14:paraId="70A94636">
      <w:pPr>
        <w:widowControl/>
        <w:spacing w:after="150"/>
        <w:jc w:val="left"/>
        <w:rPr>
          <w:rFonts w:ascii="宋体" w:hAnsi="宋体" w:eastAsia="宋体" w:cs="宋体"/>
          <w:kern w:val="0"/>
          <w:sz w:val="24"/>
          <w:szCs w:val="24"/>
        </w:rPr>
      </w:pPr>
      <w:r>
        <w:rPr>
          <w:rFonts w:hint="eastAsia" w:ascii="宋体" w:hAnsi="宋体" w:eastAsia="宋体" w:cs="宋体"/>
          <w:kern w:val="0"/>
          <w:szCs w:val="21"/>
        </w:rPr>
        <w:t>项目编号：</w:t>
      </w:r>
      <w:r>
        <w:rPr>
          <w:rFonts w:hint="eastAsia" w:ascii="宋体" w:hAnsi="宋体" w:eastAsia="宋体" w:cs="宋体"/>
          <w:kern w:val="0"/>
          <w:szCs w:val="21"/>
          <w:u w:val="single"/>
        </w:rPr>
        <w:t>                   </w:t>
      </w:r>
    </w:p>
    <w:tbl>
      <w:tblPr>
        <w:tblStyle w:val="9"/>
        <w:tblW w:w="8520" w:type="dxa"/>
        <w:tblInd w:w="0" w:type="dxa"/>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960"/>
        <w:gridCol w:w="855"/>
        <w:gridCol w:w="2970"/>
        <w:gridCol w:w="1845"/>
        <w:gridCol w:w="1890"/>
      </w:tblGrid>
      <w:tr w14:paraId="3FE38206">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96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2608340">
            <w:pPr>
              <w:widowControl/>
              <w:spacing w:after="150"/>
              <w:jc w:val="center"/>
              <w:rPr>
                <w:rFonts w:ascii="宋体" w:hAnsi="宋体" w:eastAsia="宋体" w:cs="宋体"/>
                <w:kern w:val="0"/>
                <w:sz w:val="24"/>
                <w:szCs w:val="24"/>
              </w:rPr>
            </w:pPr>
            <w:r>
              <w:rPr>
                <w:rFonts w:hint="eastAsia" w:ascii="宋体" w:hAnsi="宋体" w:eastAsia="宋体" w:cs="宋体"/>
                <w:kern w:val="0"/>
                <w:szCs w:val="21"/>
              </w:rPr>
              <w:t>采购包</w:t>
            </w:r>
          </w:p>
        </w:tc>
        <w:tc>
          <w:tcPr>
            <w:tcW w:w="85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99F65CC">
            <w:pPr>
              <w:widowControl/>
              <w:spacing w:after="150"/>
              <w:jc w:val="center"/>
              <w:rPr>
                <w:rFonts w:ascii="宋体" w:hAnsi="宋体" w:eastAsia="宋体" w:cs="宋体"/>
                <w:kern w:val="0"/>
                <w:sz w:val="24"/>
                <w:szCs w:val="24"/>
              </w:rPr>
            </w:pPr>
            <w:r>
              <w:rPr>
                <w:rFonts w:hint="eastAsia" w:ascii="宋体" w:hAnsi="宋体" w:eastAsia="宋体" w:cs="宋体"/>
                <w:kern w:val="0"/>
                <w:szCs w:val="21"/>
              </w:rPr>
              <w:t>品目号</w:t>
            </w:r>
          </w:p>
        </w:tc>
        <w:tc>
          <w:tcPr>
            <w:tcW w:w="297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CF9F70F">
            <w:pPr>
              <w:widowControl/>
              <w:spacing w:after="150"/>
              <w:jc w:val="center"/>
              <w:rPr>
                <w:rFonts w:ascii="宋体" w:hAnsi="宋体" w:eastAsia="宋体" w:cs="宋体"/>
                <w:kern w:val="0"/>
                <w:sz w:val="24"/>
                <w:szCs w:val="24"/>
              </w:rPr>
            </w:pPr>
            <w:r>
              <w:rPr>
                <w:rFonts w:hint="eastAsia" w:ascii="宋体" w:hAnsi="宋体" w:eastAsia="宋体" w:cs="宋体"/>
                <w:kern w:val="0"/>
                <w:szCs w:val="21"/>
              </w:rPr>
              <w:t>商务条件</w:t>
            </w:r>
          </w:p>
        </w:tc>
        <w:tc>
          <w:tcPr>
            <w:tcW w:w="184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0C67978">
            <w:pPr>
              <w:widowControl/>
              <w:spacing w:after="150"/>
              <w:jc w:val="center"/>
              <w:rPr>
                <w:rFonts w:ascii="宋体" w:hAnsi="宋体" w:eastAsia="宋体" w:cs="宋体"/>
                <w:kern w:val="0"/>
                <w:sz w:val="24"/>
                <w:szCs w:val="24"/>
              </w:rPr>
            </w:pPr>
            <w:r>
              <w:rPr>
                <w:rFonts w:hint="eastAsia" w:ascii="宋体" w:hAnsi="宋体" w:eastAsia="宋体" w:cs="宋体"/>
                <w:kern w:val="0"/>
                <w:szCs w:val="21"/>
              </w:rPr>
              <w:t>投标响应</w:t>
            </w:r>
          </w:p>
        </w:tc>
        <w:tc>
          <w:tcPr>
            <w:tcW w:w="189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B612BE9">
            <w:pPr>
              <w:widowControl/>
              <w:spacing w:after="150"/>
              <w:jc w:val="center"/>
              <w:rPr>
                <w:rFonts w:ascii="宋体" w:hAnsi="宋体" w:eastAsia="宋体" w:cs="宋体"/>
                <w:kern w:val="0"/>
                <w:sz w:val="24"/>
                <w:szCs w:val="24"/>
              </w:rPr>
            </w:pPr>
            <w:r>
              <w:rPr>
                <w:rFonts w:hint="eastAsia" w:ascii="宋体" w:hAnsi="宋体" w:eastAsia="宋体" w:cs="宋体"/>
                <w:kern w:val="0"/>
                <w:szCs w:val="21"/>
              </w:rPr>
              <w:t>是否偏离及说明</w:t>
            </w:r>
          </w:p>
        </w:tc>
      </w:tr>
      <w:tr w14:paraId="00FA15BD">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960"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4886032">
            <w:pPr>
              <w:widowControl/>
              <w:spacing w:after="150"/>
              <w:jc w:val="center"/>
              <w:rPr>
                <w:rFonts w:ascii="宋体" w:hAnsi="宋体" w:eastAsia="宋体" w:cs="宋体"/>
                <w:kern w:val="0"/>
                <w:sz w:val="24"/>
                <w:szCs w:val="24"/>
              </w:rPr>
            </w:pPr>
            <w:r>
              <w:rPr>
                <w:rFonts w:hint="eastAsia" w:ascii="宋体" w:hAnsi="宋体" w:eastAsia="宋体" w:cs="宋体"/>
                <w:kern w:val="0"/>
                <w:szCs w:val="21"/>
              </w:rPr>
              <w:t>*</w:t>
            </w: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BAF2481">
            <w:pPr>
              <w:widowControl/>
              <w:spacing w:after="150"/>
              <w:jc w:val="center"/>
              <w:rPr>
                <w:rFonts w:ascii="宋体" w:hAnsi="宋体" w:eastAsia="宋体" w:cs="宋体"/>
                <w:kern w:val="0"/>
                <w:sz w:val="24"/>
                <w:szCs w:val="24"/>
              </w:rPr>
            </w:pPr>
            <w:r>
              <w:rPr>
                <w:rFonts w:hint="eastAsia" w:ascii="宋体" w:hAnsi="宋体" w:eastAsia="宋体" w:cs="宋体"/>
                <w:kern w:val="0"/>
                <w:szCs w:val="21"/>
              </w:rPr>
              <w:t>*-1</w:t>
            </w:r>
          </w:p>
        </w:tc>
        <w:tc>
          <w:tcPr>
            <w:tcW w:w="29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09E09DEA">
            <w:pPr>
              <w:widowControl/>
              <w:jc w:val="left"/>
              <w:rPr>
                <w:rFonts w:ascii="宋体" w:hAnsi="宋体" w:eastAsia="宋体" w:cs="宋体"/>
                <w:kern w:val="0"/>
                <w:sz w:val="24"/>
                <w:szCs w:val="24"/>
              </w:rPr>
            </w:pPr>
          </w:p>
        </w:tc>
        <w:tc>
          <w:tcPr>
            <w:tcW w:w="18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3168BF26">
            <w:pPr>
              <w:widowControl/>
              <w:jc w:val="left"/>
              <w:rPr>
                <w:rFonts w:ascii="宋体" w:hAnsi="宋体" w:eastAsia="宋体" w:cs="宋体"/>
                <w:kern w:val="0"/>
                <w:sz w:val="24"/>
                <w:szCs w:val="24"/>
              </w:rPr>
            </w:pPr>
          </w:p>
        </w:tc>
        <w:tc>
          <w:tcPr>
            <w:tcW w:w="18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201C7286">
            <w:pPr>
              <w:widowControl/>
              <w:jc w:val="left"/>
              <w:rPr>
                <w:rFonts w:ascii="宋体" w:hAnsi="宋体" w:eastAsia="宋体" w:cs="宋体"/>
                <w:kern w:val="0"/>
                <w:sz w:val="24"/>
                <w:szCs w:val="24"/>
              </w:rPr>
            </w:pPr>
          </w:p>
        </w:tc>
      </w:tr>
      <w:tr w14:paraId="4C65735F">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0" w:type="auto"/>
            <w:vMerge w:val="continue"/>
            <w:tcBorders>
              <w:top w:val="nil"/>
              <w:left w:val="single" w:color="auto" w:sz="6" w:space="0"/>
              <w:bottom w:val="single" w:color="auto" w:sz="6" w:space="0"/>
              <w:right w:val="single" w:color="auto" w:sz="6" w:space="0"/>
            </w:tcBorders>
            <w:shd w:val="clear" w:color="auto" w:fill="auto"/>
            <w:vAlign w:val="center"/>
          </w:tcPr>
          <w:p w14:paraId="756AA09A">
            <w:pPr>
              <w:widowControl/>
              <w:jc w:val="left"/>
              <w:rPr>
                <w:rFonts w:ascii="宋体" w:hAnsi="宋体" w:eastAsia="宋体" w:cs="宋体"/>
                <w:kern w:val="0"/>
                <w:sz w:val="24"/>
                <w:szCs w:val="24"/>
              </w:rPr>
            </w:pP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8C198E5">
            <w:pPr>
              <w:widowControl/>
              <w:spacing w:after="150"/>
              <w:jc w:val="center"/>
              <w:rPr>
                <w:rFonts w:ascii="宋体" w:hAnsi="宋体" w:eastAsia="宋体" w:cs="宋体"/>
                <w:kern w:val="0"/>
                <w:sz w:val="24"/>
                <w:szCs w:val="24"/>
              </w:rPr>
            </w:pPr>
            <w:r>
              <w:rPr>
                <w:rFonts w:ascii="Calibri" w:hAnsi="Calibri" w:eastAsia="宋体" w:cs="Calibri"/>
                <w:kern w:val="0"/>
                <w:szCs w:val="21"/>
              </w:rPr>
              <w:t>…</w:t>
            </w:r>
          </w:p>
        </w:tc>
        <w:tc>
          <w:tcPr>
            <w:tcW w:w="29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291E2E07">
            <w:pPr>
              <w:widowControl/>
              <w:jc w:val="left"/>
              <w:rPr>
                <w:rFonts w:ascii="宋体" w:hAnsi="宋体" w:eastAsia="宋体" w:cs="宋体"/>
                <w:kern w:val="0"/>
                <w:sz w:val="24"/>
                <w:szCs w:val="24"/>
              </w:rPr>
            </w:pPr>
          </w:p>
        </w:tc>
        <w:tc>
          <w:tcPr>
            <w:tcW w:w="18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7AE0FE84">
            <w:pPr>
              <w:widowControl/>
              <w:jc w:val="left"/>
              <w:rPr>
                <w:rFonts w:ascii="宋体" w:hAnsi="宋体" w:eastAsia="宋体" w:cs="宋体"/>
                <w:kern w:val="0"/>
                <w:sz w:val="24"/>
                <w:szCs w:val="24"/>
              </w:rPr>
            </w:pPr>
          </w:p>
        </w:tc>
        <w:tc>
          <w:tcPr>
            <w:tcW w:w="18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5F2BEFB7">
            <w:pPr>
              <w:widowControl/>
              <w:jc w:val="left"/>
              <w:rPr>
                <w:rFonts w:ascii="宋体" w:hAnsi="宋体" w:eastAsia="宋体" w:cs="宋体"/>
                <w:kern w:val="0"/>
                <w:sz w:val="24"/>
                <w:szCs w:val="24"/>
              </w:rPr>
            </w:pPr>
          </w:p>
        </w:tc>
      </w:tr>
      <w:tr w14:paraId="4E0369C1">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96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ACC3B63">
            <w:pPr>
              <w:widowControl/>
              <w:spacing w:after="150"/>
              <w:jc w:val="center"/>
              <w:rPr>
                <w:rFonts w:ascii="宋体" w:hAnsi="宋体" w:eastAsia="宋体" w:cs="宋体"/>
                <w:kern w:val="0"/>
                <w:sz w:val="24"/>
                <w:szCs w:val="24"/>
              </w:rPr>
            </w:pPr>
            <w:r>
              <w:rPr>
                <w:rFonts w:ascii="Calibri" w:hAnsi="Calibri" w:eastAsia="宋体" w:cs="Calibri"/>
                <w:kern w:val="0"/>
                <w:szCs w:val="21"/>
              </w:rPr>
              <w:t>…</w:t>
            </w: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792FD25">
            <w:pPr>
              <w:widowControl/>
              <w:jc w:val="left"/>
              <w:rPr>
                <w:rFonts w:ascii="宋体" w:hAnsi="宋体" w:eastAsia="宋体" w:cs="宋体"/>
                <w:kern w:val="0"/>
                <w:sz w:val="24"/>
                <w:szCs w:val="24"/>
              </w:rPr>
            </w:pPr>
          </w:p>
        </w:tc>
        <w:tc>
          <w:tcPr>
            <w:tcW w:w="29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3FAB822">
            <w:pPr>
              <w:widowControl/>
              <w:jc w:val="left"/>
              <w:rPr>
                <w:rFonts w:ascii="宋体" w:hAnsi="宋体" w:eastAsia="宋体" w:cs="宋体"/>
                <w:kern w:val="0"/>
                <w:sz w:val="24"/>
                <w:szCs w:val="24"/>
              </w:rPr>
            </w:pPr>
          </w:p>
        </w:tc>
        <w:tc>
          <w:tcPr>
            <w:tcW w:w="18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7F0E5C2">
            <w:pPr>
              <w:widowControl/>
              <w:jc w:val="left"/>
              <w:rPr>
                <w:rFonts w:ascii="宋体" w:hAnsi="宋体" w:eastAsia="宋体" w:cs="宋体"/>
                <w:kern w:val="0"/>
                <w:sz w:val="24"/>
                <w:szCs w:val="24"/>
              </w:rPr>
            </w:pPr>
          </w:p>
        </w:tc>
        <w:tc>
          <w:tcPr>
            <w:tcW w:w="18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CF61596">
            <w:pPr>
              <w:widowControl/>
              <w:jc w:val="left"/>
              <w:rPr>
                <w:rFonts w:ascii="宋体" w:hAnsi="宋体" w:eastAsia="宋体" w:cs="宋体"/>
                <w:kern w:val="0"/>
                <w:sz w:val="24"/>
                <w:szCs w:val="24"/>
              </w:rPr>
            </w:pPr>
          </w:p>
        </w:tc>
      </w:tr>
    </w:tbl>
    <w:p w14:paraId="3E56D6B8">
      <w:pPr>
        <w:widowControl/>
        <w:spacing w:after="150"/>
        <w:jc w:val="left"/>
        <w:rPr>
          <w:rFonts w:ascii="宋体" w:hAnsi="宋体" w:eastAsia="宋体" w:cs="宋体"/>
          <w:kern w:val="0"/>
          <w:sz w:val="24"/>
          <w:szCs w:val="24"/>
        </w:rPr>
      </w:pPr>
      <w:r>
        <w:rPr>
          <w:rFonts w:hint="eastAsia" w:ascii="宋体" w:hAnsi="宋体" w:eastAsia="宋体" w:cs="宋体"/>
          <w:kern w:val="0"/>
          <w:szCs w:val="21"/>
        </w:rPr>
        <w:t>※注意：</w:t>
      </w:r>
    </w:p>
    <w:p w14:paraId="6BDB506E">
      <w:pPr>
        <w:widowControl/>
        <w:spacing w:after="150"/>
        <w:jc w:val="left"/>
        <w:rPr>
          <w:rFonts w:ascii="宋体" w:hAnsi="宋体" w:eastAsia="宋体" w:cs="宋体"/>
          <w:kern w:val="0"/>
          <w:sz w:val="24"/>
          <w:szCs w:val="24"/>
        </w:rPr>
      </w:pPr>
      <w:r>
        <w:rPr>
          <w:rFonts w:hint="eastAsia" w:ascii="宋体" w:hAnsi="宋体" w:eastAsia="宋体" w:cs="宋体"/>
          <w:kern w:val="0"/>
          <w:szCs w:val="21"/>
        </w:rPr>
        <w:t>1、本表应按照下列规定填写：</w:t>
      </w:r>
    </w:p>
    <w:p w14:paraId="363AD282">
      <w:pPr>
        <w:widowControl/>
        <w:spacing w:after="150"/>
        <w:jc w:val="left"/>
        <w:rPr>
          <w:rFonts w:ascii="宋体" w:hAnsi="宋体" w:eastAsia="宋体" w:cs="宋体"/>
          <w:kern w:val="0"/>
          <w:sz w:val="24"/>
          <w:szCs w:val="24"/>
        </w:rPr>
      </w:pPr>
      <w:r>
        <w:rPr>
          <w:rFonts w:hint="eastAsia" w:ascii="宋体" w:hAnsi="宋体" w:eastAsia="宋体" w:cs="宋体"/>
          <w:kern w:val="0"/>
          <w:szCs w:val="21"/>
        </w:rPr>
        <w:t>1.1“商务条件”项下填写的内容应与招标文件第五章“商务条件”的内容保持一致。</w:t>
      </w:r>
    </w:p>
    <w:p w14:paraId="6C65A62F">
      <w:pPr>
        <w:widowControl/>
        <w:spacing w:after="150"/>
        <w:jc w:val="left"/>
        <w:rPr>
          <w:rFonts w:ascii="宋体" w:hAnsi="宋体" w:eastAsia="宋体" w:cs="宋体"/>
          <w:kern w:val="0"/>
          <w:sz w:val="24"/>
          <w:szCs w:val="24"/>
        </w:rPr>
      </w:pPr>
      <w:r>
        <w:rPr>
          <w:rFonts w:hint="eastAsia" w:ascii="宋体" w:hAnsi="宋体" w:eastAsia="宋体" w:cs="宋体"/>
          <w:kern w:val="0"/>
          <w:szCs w:val="21"/>
        </w:rPr>
        <w:t>1.2“投标响应”项下应填写具体的响应内容并与“商务条件”项下填写的内容逐项对应；对“商务条件”项下涉及“≥或＞”、“≤或＜”及某个区间值范围内的内容，应填写具体的数值。</w:t>
      </w:r>
    </w:p>
    <w:p w14:paraId="7BA419F6">
      <w:pPr>
        <w:widowControl/>
        <w:spacing w:after="150"/>
        <w:jc w:val="left"/>
        <w:rPr>
          <w:rFonts w:ascii="宋体" w:hAnsi="宋体" w:eastAsia="宋体" w:cs="宋体"/>
          <w:kern w:val="0"/>
          <w:sz w:val="24"/>
          <w:szCs w:val="24"/>
        </w:rPr>
      </w:pPr>
      <w:r>
        <w:rPr>
          <w:rFonts w:hint="eastAsia" w:ascii="宋体" w:hAnsi="宋体" w:eastAsia="宋体" w:cs="宋体"/>
          <w:kern w:val="0"/>
          <w:szCs w:val="21"/>
        </w:rPr>
        <w:t>1.3“是否偏离及说明”项下应按下列规定填写：优于的，填写“正偏离”；符合的，填写“无偏离”；低于的，填写“负偏离”。</w:t>
      </w:r>
    </w:p>
    <w:p w14:paraId="1F11E197">
      <w:pPr>
        <w:widowControl/>
        <w:spacing w:after="150"/>
        <w:jc w:val="left"/>
        <w:rPr>
          <w:rFonts w:ascii="宋体" w:hAnsi="宋体" w:eastAsia="宋体" w:cs="宋体"/>
          <w:kern w:val="0"/>
          <w:sz w:val="24"/>
          <w:szCs w:val="24"/>
        </w:rPr>
      </w:pPr>
      <w:r>
        <w:rPr>
          <w:rFonts w:hint="eastAsia" w:ascii="宋体" w:hAnsi="宋体" w:eastAsia="宋体" w:cs="宋体"/>
          <w:kern w:val="0"/>
          <w:szCs w:val="21"/>
        </w:rPr>
        <w:t>2、投标人需要说明的内容若需特殊表达，应先在本表中进行相应说明，再另页应答，但应做好标注说明，方便评委查阅评审。未标注说明可能导致的不利的评审后果由投标人自行承担。</w:t>
      </w:r>
    </w:p>
    <w:p w14:paraId="2BAB6AEF">
      <w:pPr>
        <w:widowControl/>
        <w:spacing w:after="150"/>
        <w:jc w:val="left"/>
        <w:rPr>
          <w:rFonts w:ascii="宋体" w:hAnsi="宋体" w:eastAsia="宋体" w:cs="宋体"/>
          <w:kern w:val="0"/>
          <w:sz w:val="24"/>
          <w:szCs w:val="24"/>
        </w:rPr>
      </w:pPr>
    </w:p>
    <w:p w14:paraId="5EF6E28C">
      <w:pPr>
        <w:widowControl/>
        <w:spacing w:after="150"/>
        <w:jc w:val="left"/>
        <w:rPr>
          <w:rFonts w:ascii="宋体" w:hAnsi="宋体" w:eastAsia="宋体" w:cs="宋体"/>
          <w:kern w:val="0"/>
          <w:sz w:val="24"/>
          <w:szCs w:val="24"/>
        </w:rPr>
      </w:pPr>
      <w:r>
        <w:rPr>
          <w:rFonts w:hint="eastAsia" w:ascii="宋体" w:hAnsi="宋体" w:eastAsia="宋体" w:cs="宋体"/>
          <w:kern w:val="0"/>
          <w:szCs w:val="21"/>
        </w:rPr>
        <w:t>投标人：</w:t>
      </w:r>
      <w:r>
        <w:rPr>
          <w:rFonts w:hint="eastAsia" w:ascii="宋体" w:hAnsi="宋体" w:eastAsia="宋体" w:cs="宋体"/>
          <w:kern w:val="0"/>
          <w:szCs w:val="21"/>
          <w:u w:val="single"/>
        </w:rPr>
        <w:t>（全称并加盖单位公章）</w:t>
      </w:r>
    </w:p>
    <w:p w14:paraId="4F364C12">
      <w:pPr>
        <w:widowControl/>
        <w:spacing w:after="150"/>
        <w:jc w:val="left"/>
        <w:rPr>
          <w:rFonts w:ascii="宋体" w:hAnsi="宋体" w:eastAsia="宋体" w:cs="宋体"/>
          <w:kern w:val="0"/>
          <w:sz w:val="24"/>
          <w:szCs w:val="24"/>
        </w:rPr>
      </w:pPr>
      <w:r>
        <w:rPr>
          <w:rFonts w:hint="eastAsia" w:ascii="宋体" w:hAnsi="宋体" w:eastAsia="宋体" w:cs="宋体"/>
          <w:kern w:val="0"/>
          <w:szCs w:val="21"/>
        </w:rPr>
        <w:t>日期：</w:t>
      </w:r>
      <w:r>
        <w:rPr>
          <w:rFonts w:hint="eastAsia" w:ascii="宋体" w:hAnsi="宋体" w:eastAsia="宋体" w:cs="宋体"/>
          <w:kern w:val="0"/>
          <w:szCs w:val="21"/>
          <w:u w:val="single"/>
        </w:rPr>
        <w:t>    </w:t>
      </w:r>
      <w:r>
        <w:rPr>
          <w:rFonts w:hint="eastAsia" w:ascii="宋体" w:hAnsi="宋体" w:eastAsia="宋体" w:cs="宋体"/>
          <w:kern w:val="0"/>
          <w:szCs w:val="21"/>
        </w:rPr>
        <w:t>年</w:t>
      </w:r>
      <w:r>
        <w:rPr>
          <w:rFonts w:hint="eastAsia" w:ascii="宋体" w:hAnsi="宋体" w:eastAsia="宋体" w:cs="宋体"/>
          <w:kern w:val="0"/>
          <w:szCs w:val="21"/>
          <w:u w:val="single"/>
        </w:rPr>
        <w:t>   </w:t>
      </w:r>
      <w:r>
        <w:rPr>
          <w:rFonts w:hint="eastAsia" w:ascii="宋体" w:hAnsi="宋体" w:eastAsia="宋体" w:cs="宋体"/>
          <w:kern w:val="0"/>
          <w:szCs w:val="21"/>
        </w:rPr>
        <w:t>月</w:t>
      </w:r>
      <w:r>
        <w:rPr>
          <w:rFonts w:hint="eastAsia" w:ascii="宋体" w:hAnsi="宋体" w:eastAsia="宋体" w:cs="宋体"/>
          <w:kern w:val="0"/>
          <w:szCs w:val="21"/>
          <w:u w:val="single"/>
        </w:rPr>
        <w:t>   </w:t>
      </w:r>
      <w:r>
        <w:rPr>
          <w:rFonts w:hint="eastAsia" w:ascii="宋体" w:hAnsi="宋体" w:eastAsia="宋体" w:cs="宋体"/>
          <w:kern w:val="0"/>
          <w:szCs w:val="21"/>
        </w:rPr>
        <w:t>日</w:t>
      </w:r>
    </w:p>
    <w:p w14:paraId="6CA28EC6">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14:paraId="6C3B6C92">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r>
        <w:rPr>
          <w:rFonts w:hint="eastAsia" w:ascii="宋体" w:hAnsi="宋体" w:eastAsia="宋体" w:cs="宋体"/>
          <w:kern w:val="0"/>
          <w:szCs w:val="21"/>
        </w:rPr>
        <w:br w:type="textWrapping"/>
      </w:r>
      <w:r>
        <w:rPr>
          <w:rFonts w:hint="eastAsia" w:ascii="宋体" w:hAnsi="宋体" w:eastAsia="宋体" w:cs="宋体"/>
          <w:kern w:val="0"/>
          <w:szCs w:val="21"/>
        </w:rPr>
        <w:br w:type="textWrapping"/>
      </w:r>
      <w:r>
        <w:rPr>
          <w:rFonts w:hint="eastAsia" w:ascii="宋体" w:hAnsi="宋体" w:eastAsia="宋体" w:cs="宋体"/>
          <w:kern w:val="0"/>
          <w:szCs w:val="21"/>
        </w:rPr>
        <w:br w:type="textWrapping"/>
      </w:r>
    </w:p>
    <w:p w14:paraId="11EAB859">
      <w:pPr>
        <w:widowControl/>
        <w:spacing w:after="150"/>
        <w:jc w:val="center"/>
        <w:rPr>
          <w:rFonts w:ascii="宋体" w:hAnsi="宋体" w:eastAsia="宋体" w:cs="宋体"/>
          <w:kern w:val="0"/>
          <w:sz w:val="24"/>
          <w:szCs w:val="24"/>
        </w:rPr>
      </w:pPr>
      <w:r>
        <w:rPr>
          <w:rFonts w:hint="eastAsia" w:ascii="宋体" w:hAnsi="宋体" w:eastAsia="宋体" w:cs="宋体"/>
          <w:kern w:val="0"/>
          <w:szCs w:val="21"/>
        </w:rPr>
        <w:br w:type="textWrapping"/>
      </w:r>
      <w:r>
        <w:rPr>
          <w:rFonts w:hint="eastAsia" w:ascii="宋体" w:hAnsi="宋体" w:eastAsia="宋体" w:cs="宋体"/>
          <w:b/>
          <w:bCs/>
          <w:kern w:val="0"/>
          <w:szCs w:val="21"/>
        </w:rPr>
        <w:t>四、投标人提交的其他资料（若有）</w:t>
      </w:r>
    </w:p>
    <w:p w14:paraId="3A2E6BA4">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14:paraId="60BCEC01">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14:paraId="6A055F31">
      <w:pPr>
        <w:widowControl/>
        <w:spacing w:after="150"/>
        <w:jc w:val="center"/>
        <w:rPr>
          <w:rFonts w:ascii="宋体" w:hAnsi="宋体" w:eastAsia="宋体" w:cs="宋体"/>
          <w:kern w:val="0"/>
          <w:sz w:val="24"/>
          <w:szCs w:val="24"/>
        </w:rPr>
      </w:pPr>
      <w:r>
        <w:rPr>
          <w:rFonts w:hint="eastAsia" w:ascii="宋体" w:hAnsi="宋体" w:eastAsia="宋体" w:cs="宋体"/>
          <w:kern w:val="0"/>
          <w:szCs w:val="21"/>
        </w:rPr>
        <w:t>编制说明</w:t>
      </w:r>
    </w:p>
    <w:p w14:paraId="79C7C3CB">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14:paraId="20FBB5F7">
      <w:pPr>
        <w:widowControl/>
        <w:spacing w:after="150"/>
        <w:jc w:val="left"/>
        <w:rPr>
          <w:rFonts w:ascii="宋体" w:hAnsi="宋体" w:eastAsia="宋体" w:cs="宋体"/>
          <w:kern w:val="0"/>
          <w:sz w:val="24"/>
          <w:szCs w:val="24"/>
        </w:rPr>
      </w:pPr>
      <w:r>
        <w:rPr>
          <w:rFonts w:hint="eastAsia" w:ascii="宋体" w:hAnsi="宋体" w:eastAsia="宋体" w:cs="宋体"/>
          <w:kern w:val="0"/>
          <w:szCs w:val="21"/>
        </w:rPr>
        <w:t>1、招标文件要求提交的除</w:t>
      </w:r>
      <w:r>
        <w:rPr>
          <w:rFonts w:hint="eastAsia" w:ascii="宋体" w:hAnsi="宋体" w:eastAsia="宋体" w:cs="宋体"/>
          <w:b/>
          <w:bCs/>
          <w:kern w:val="0"/>
          <w:szCs w:val="21"/>
        </w:rPr>
        <w:t>“资格及资信证明部分”、“报价部分”</w:t>
      </w:r>
      <w:r>
        <w:rPr>
          <w:rFonts w:hint="eastAsia" w:ascii="宋体" w:hAnsi="宋体" w:eastAsia="宋体" w:cs="宋体"/>
          <w:kern w:val="0"/>
          <w:szCs w:val="21"/>
        </w:rPr>
        <w:t>外的其他证明材料或资料加盖投标人的单位公章后应在此项下提交。</w:t>
      </w:r>
    </w:p>
    <w:p w14:paraId="490F2218">
      <w:pPr>
        <w:widowControl/>
        <w:spacing w:after="150"/>
        <w:jc w:val="left"/>
        <w:rPr>
          <w:rFonts w:ascii="宋体" w:hAnsi="宋体" w:eastAsia="宋体" w:cs="宋体"/>
          <w:kern w:val="0"/>
          <w:sz w:val="24"/>
          <w:szCs w:val="24"/>
        </w:rPr>
      </w:pPr>
      <w:r>
        <w:rPr>
          <w:rFonts w:hint="eastAsia" w:ascii="宋体" w:hAnsi="宋体" w:eastAsia="宋体" w:cs="宋体"/>
          <w:kern w:val="0"/>
          <w:szCs w:val="21"/>
        </w:rPr>
        <w:t>2、招标文件要求投标人提供方案（包括但不限于：组织、实施、技术、服务方案等）的，投标人应在此项下提交。</w:t>
      </w:r>
    </w:p>
    <w:p w14:paraId="71B78669">
      <w:pPr>
        <w:widowControl/>
        <w:spacing w:after="150"/>
        <w:jc w:val="left"/>
        <w:rPr>
          <w:rFonts w:ascii="宋体" w:hAnsi="宋体" w:eastAsia="宋体" w:cs="宋体"/>
          <w:kern w:val="0"/>
          <w:sz w:val="24"/>
          <w:szCs w:val="24"/>
        </w:rPr>
      </w:pPr>
      <w:r>
        <w:rPr>
          <w:rFonts w:hint="eastAsia" w:ascii="宋体" w:hAnsi="宋体" w:eastAsia="宋体" w:cs="宋体"/>
          <w:kern w:val="0"/>
          <w:szCs w:val="21"/>
        </w:rPr>
        <w:t>3、除招标文件另有规定外，投标人认为需要提交的其他证明材料或资料加盖投标人的单位公章后应在此项下提交。</w:t>
      </w:r>
    </w:p>
    <w:p w14:paraId="38B2103C">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14:paraId="034A48CF">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14:paraId="130BA9EC">
      <w:pPr>
        <w:widowControl/>
        <w:spacing w:before="75" w:after="75"/>
        <w:jc w:val="left"/>
        <w:rPr>
          <w:rFonts w:ascii="宋体" w:hAnsi="宋体" w:eastAsia="宋体" w:cs="宋体"/>
          <w:kern w:val="0"/>
          <w:sz w:val="24"/>
          <w:szCs w:val="24"/>
        </w:rPr>
      </w:pPr>
      <w:r>
        <w:rPr>
          <w:rFonts w:hint="eastAsia" w:ascii="宋体" w:hAnsi="宋体" w:eastAsia="宋体" w:cs="宋体"/>
          <w:kern w:val="0"/>
          <w:szCs w:val="21"/>
        </w:rPr>
        <w:t> </w:t>
      </w:r>
    </w:p>
    <w:p w14:paraId="7123045E">
      <w:pPr>
        <w:widowControl/>
        <w:shd w:val="clear" w:color="auto" w:fill="FFFFFF"/>
        <w:spacing w:before="300" w:after="150"/>
        <w:jc w:val="left"/>
        <w:outlineLvl w:val="2"/>
        <w:rPr>
          <w:rFonts w:ascii="Helvetica" w:hAnsi="Helvetica" w:eastAsia="宋体" w:cs="Helvetica"/>
          <w:color w:val="393939"/>
          <w:kern w:val="0"/>
          <w:sz w:val="33"/>
          <w:szCs w:val="33"/>
        </w:rPr>
      </w:pPr>
      <w:r>
        <w:rPr>
          <w:rFonts w:ascii="Helvetica" w:hAnsi="Helvetica" w:eastAsia="宋体" w:cs="Helvetica"/>
          <w:color w:val="393939"/>
          <w:kern w:val="0"/>
          <w:sz w:val="33"/>
          <w:szCs w:val="33"/>
        </w:rPr>
        <w:t>采购文件相关附件</w:t>
      </w:r>
    </w:p>
    <w:p w14:paraId="1530D219">
      <w:r>
        <w:rPr>
          <w:rFonts w:ascii="Calibri" w:hAnsi="Calibri" w:eastAsia="宋体" w:cs="Calibri"/>
          <w:color w:val="393939"/>
          <w:kern w:val="0"/>
          <w:szCs w:val="21"/>
          <w:shd w:val="clear" w:color="auto" w:fill="FFFFFF"/>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 w:name="Segoe UI Symbol">
    <w:panose1 w:val="020B0502040204020203"/>
    <w:charset w:val="00"/>
    <w:family w:val="swiss"/>
    <w:pitch w:val="default"/>
    <w:sig w:usb0="800001E3" w:usb1="1200FFEF" w:usb2="00040000" w:usb3="04000000" w:csb0="00000001" w:csb1="4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UxMjg3NjU4ZDkxMWJhNDFiYTM4NGU0Mzk1NmNhNTcifQ=="/>
  </w:docVars>
  <w:rsids>
    <w:rsidRoot w:val="00D972AF"/>
    <w:rsid w:val="00004D74"/>
    <w:rsid w:val="000C6D40"/>
    <w:rsid w:val="002E7ADA"/>
    <w:rsid w:val="008044C0"/>
    <w:rsid w:val="00D972AF"/>
    <w:rsid w:val="00E75F05"/>
    <w:rsid w:val="00E85D53"/>
    <w:rsid w:val="25810204"/>
    <w:rsid w:val="78D85CE2"/>
    <w:rsid w:val="7B4F70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2"/>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paragraph" w:styleId="3">
    <w:name w:val="heading 4"/>
    <w:basedOn w:val="1"/>
    <w:next w:val="1"/>
    <w:link w:val="13"/>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paragraph" w:styleId="4">
    <w:name w:val="heading 5"/>
    <w:basedOn w:val="1"/>
    <w:next w:val="1"/>
    <w:link w:val="14"/>
    <w:qFormat/>
    <w:uiPriority w:val="9"/>
    <w:pPr>
      <w:widowControl/>
      <w:spacing w:before="100" w:beforeAutospacing="1" w:after="100" w:afterAutospacing="1"/>
      <w:jc w:val="left"/>
      <w:outlineLvl w:val="4"/>
    </w:pPr>
    <w:rPr>
      <w:rFonts w:ascii="宋体" w:hAnsi="宋体" w:eastAsia="宋体" w:cs="宋体"/>
      <w:b/>
      <w:bCs/>
      <w:kern w:val="0"/>
      <w:sz w:val="20"/>
      <w:szCs w:val="20"/>
    </w:rPr>
  </w:style>
  <w:style w:type="paragraph" w:styleId="5">
    <w:name w:val="heading 6"/>
    <w:basedOn w:val="1"/>
    <w:next w:val="1"/>
    <w:link w:val="15"/>
    <w:qFormat/>
    <w:uiPriority w:val="9"/>
    <w:pPr>
      <w:widowControl/>
      <w:spacing w:before="100" w:beforeAutospacing="1" w:after="100" w:afterAutospacing="1"/>
      <w:jc w:val="left"/>
      <w:outlineLvl w:val="5"/>
    </w:pPr>
    <w:rPr>
      <w:rFonts w:ascii="宋体" w:hAnsi="宋体" w:eastAsia="宋体" w:cs="宋体"/>
      <w:b/>
      <w:bCs/>
      <w:kern w:val="0"/>
      <w:sz w:val="15"/>
      <w:szCs w:val="15"/>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6">
    <w:name w:val="footer"/>
    <w:basedOn w:val="1"/>
    <w:link w:val="32"/>
    <w:semiHidden/>
    <w:unhideWhenUsed/>
    <w:qFormat/>
    <w:uiPriority w:val="99"/>
    <w:pPr>
      <w:tabs>
        <w:tab w:val="center" w:pos="4153"/>
        <w:tab w:val="right" w:pos="8306"/>
      </w:tabs>
      <w:snapToGrid w:val="0"/>
      <w:jc w:val="left"/>
    </w:pPr>
    <w:rPr>
      <w:sz w:val="18"/>
      <w:szCs w:val="18"/>
    </w:rPr>
  </w:style>
  <w:style w:type="paragraph" w:styleId="7">
    <w:name w:val="header"/>
    <w:basedOn w:val="1"/>
    <w:link w:val="3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Strong"/>
    <w:basedOn w:val="10"/>
    <w:qFormat/>
    <w:uiPriority w:val="22"/>
    <w:rPr>
      <w:b/>
      <w:bCs/>
    </w:rPr>
  </w:style>
  <w:style w:type="character" w:customStyle="1" w:styleId="12">
    <w:name w:val="标题 3 Char"/>
    <w:basedOn w:val="10"/>
    <w:link w:val="2"/>
    <w:qFormat/>
    <w:uiPriority w:val="9"/>
    <w:rPr>
      <w:rFonts w:ascii="宋体" w:hAnsi="宋体" w:eastAsia="宋体" w:cs="宋体"/>
      <w:b/>
      <w:bCs/>
      <w:kern w:val="0"/>
      <w:sz w:val="27"/>
      <w:szCs w:val="27"/>
    </w:rPr>
  </w:style>
  <w:style w:type="character" w:customStyle="1" w:styleId="13">
    <w:name w:val="标题 4 Char"/>
    <w:basedOn w:val="10"/>
    <w:link w:val="3"/>
    <w:qFormat/>
    <w:uiPriority w:val="9"/>
    <w:rPr>
      <w:rFonts w:ascii="宋体" w:hAnsi="宋体" w:eastAsia="宋体" w:cs="宋体"/>
      <w:b/>
      <w:bCs/>
      <w:kern w:val="0"/>
      <w:sz w:val="24"/>
      <w:szCs w:val="24"/>
    </w:rPr>
  </w:style>
  <w:style w:type="character" w:customStyle="1" w:styleId="14">
    <w:name w:val="标题 5 Char"/>
    <w:basedOn w:val="10"/>
    <w:link w:val="4"/>
    <w:qFormat/>
    <w:uiPriority w:val="9"/>
    <w:rPr>
      <w:rFonts w:ascii="宋体" w:hAnsi="宋体" w:eastAsia="宋体" w:cs="宋体"/>
      <w:b/>
      <w:bCs/>
      <w:kern w:val="0"/>
      <w:sz w:val="20"/>
      <w:szCs w:val="20"/>
    </w:rPr>
  </w:style>
  <w:style w:type="character" w:customStyle="1" w:styleId="15">
    <w:name w:val="标题 6 Char"/>
    <w:basedOn w:val="10"/>
    <w:link w:val="5"/>
    <w:qFormat/>
    <w:uiPriority w:val="9"/>
    <w:rPr>
      <w:rFonts w:ascii="宋体" w:hAnsi="宋体" w:eastAsia="宋体" w:cs="宋体"/>
      <w:b/>
      <w:bCs/>
      <w:kern w:val="0"/>
      <w:sz w:val="15"/>
      <w:szCs w:val="15"/>
    </w:rPr>
  </w:style>
  <w:style w:type="paragraph" w:customStyle="1" w:styleId="16">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
    <w:name w:val="customize__projectname"/>
    <w:basedOn w:val="10"/>
    <w:qFormat/>
    <w:uiPriority w:val="0"/>
  </w:style>
  <w:style w:type="character" w:customStyle="1" w:styleId="18">
    <w:name w:val="customize_recordno"/>
    <w:basedOn w:val="10"/>
    <w:qFormat/>
    <w:uiPriority w:val="0"/>
  </w:style>
  <w:style w:type="character" w:customStyle="1" w:styleId="19">
    <w:name w:val="customize_project_code"/>
    <w:basedOn w:val="10"/>
    <w:qFormat/>
    <w:uiPriority w:val="0"/>
  </w:style>
  <w:style w:type="character" w:customStyle="1" w:styleId="20">
    <w:name w:val="customize_cgr"/>
    <w:basedOn w:val="10"/>
    <w:qFormat/>
    <w:uiPriority w:val="0"/>
  </w:style>
  <w:style w:type="character" w:customStyle="1" w:styleId="21">
    <w:name w:val="customize_agent"/>
    <w:basedOn w:val="10"/>
    <w:qFormat/>
    <w:uiPriority w:val="0"/>
  </w:style>
  <w:style w:type="character" w:customStyle="1" w:styleId="22">
    <w:name w:val="customize_cgrdz"/>
    <w:basedOn w:val="10"/>
    <w:qFormat/>
    <w:uiPriority w:val="0"/>
  </w:style>
  <w:style w:type="character" w:customStyle="1" w:styleId="23">
    <w:name w:val="customize_cgrdh"/>
    <w:basedOn w:val="10"/>
    <w:qFormat/>
    <w:uiPriority w:val="0"/>
  </w:style>
  <w:style w:type="character" w:customStyle="1" w:styleId="24">
    <w:name w:val="customize_agentadd"/>
    <w:basedOn w:val="10"/>
    <w:qFormat/>
    <w:uiPriority w:val="0"/>
  </w:style>
  <w:style w:type="character" w:customStyle="1" w:styleId="25">
    <w:name w:val="customize_agenttel"/>
    <w:basedOn w:val="10"/>
    <w:qFormat/>
    <w:uiPriority w:val="0"/>
  </w:style>
  <w:style w:type="character" w:customStyle="1" w:styleId="26">
    <w:name w:val="editlist"/>
    <w:basedOn w:val="10"/>
    <w:qFormat/>
    <w:uiPriority w:val="0"/>
  </w:style>
  <w:style w:type="character" w:customStyle="1" w:styleId="27">
    <w:name w:val="edittexttarea"/>
    <w:basedOn w:val="10"/>
    <w:qFormat/>
    <w:uiPriority w:val="0"/>
  </w:style>
  <w:style w:type="character" w:customStyle="1" w:styleId="28">
    <w:name w:val="editinput"/>
    <w:basedOn w:val="10"/>
    <w:qFormat/>
    <w:uiPriority w:val="0"/>
  </w:style>
  <w:style w:type="paragraph" w:customStyle="1" w:styleId="29">
    <w:name w:val="col-sm-12"/>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30">
    <w:name w:val="col-sm-6"/>
    <w:basedOn w:val="10"/>
    <w:qFormat/>
    <w:uiPriority w:val="0"/>
  </w:style>
  <w:style w:type="character" w:customStyle="1" w:styleId="31">
    <w:name w:val="页眉 Char"/>
    <w:basedOn w:val="10"/>
    <w:link w:val="7"/>
    <w:semiHidden/>
    <w:qFormat/>
    <w:uiPriority w:val="99"/>
    <w:rPr>
      <w:kern w:val="2"/>
      <w:sz w:val="18"/>
      <w:szCs w:val="18"/>
    </w:rPr>
  </w:style>
  <w:style w:type="character" w:customStyle="1" w:styleId="32">
    <w:name w:val="页脚 Char"/>
    <w:basedOn w:val="10"/>
    <w:link w:val="6"/>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101</Pages>
  <Words>2237</Words>
  <Characters>2713</Characters>
  <Lines>534</Lines>
  <Paragraphs>150</Paragraphs>
  <TotalTime>11</TotalTime>
  <ScaleCrop>false</ScaleCrop>
  <LinksUpToDate>false</LinksUpToDate>
  <CharactersWithSpaces>2792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2022-08-08T09:57:00Z</dcterms:created>
  <dc:creator>Admin</dc:creator>
  <cp:lastModifiedBy>Chailyn</cp:lastModifiedBy>
  <dcterms:modified xsi:type="dcterms:W3CDTF">2025-09-08T03:22:15Z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71E695BAA6624E508C301163F7B69E5B</vt:lpwstr>
  </property>
  <property fmtid="{D5CDD505-2E9C-101B-9397-08002B2CF9AE}" pid="4" name="KSOTemplateDocerSaveRecord">
    <vt:lpwstr>eyJoZGlkIjoiODg2NjhjOGVjNjVjMDRmYjk3YzAwOGFlNDRjM2Y0N2IiLCJ1c2VySWQiOiIxMzYzMDk2MTY2In0=</vt:lpwstr>
  </property>
</Properties>
</file>